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15.55pt;margin-top:20.049999pt;width:580.85pt;height:772.1pt;mso-position-horizontal-relative:page;mso-position-vertical-relative:page;z-index:-253602816" coordorigin="311,401" coordsize="11617,15442">
            <v:shape style="position:absolute;left:1922;top:3891;width:8335;height:8054" type="#_x0000_t75" stroked="false">
              <v:imagedata r:id="rId5" o:title=""/>
            </v:shape>
            <v:shape style="position:absolute;left:339;top:411;width:11579;height:15019" type="#_x0000_t75" stroked="false">
              <v:imagedata r:id="rId6" o:title=""/>
            </v:shape>
            <v:rect style="position:absolute;left:3445;top:411;width:8473;height:15019" filled="true" fillcolor="#737373" stroked="false">
              <v:fill type="solid"/>
            </v:rect>
            <v:rect style="position:absolute;left:3445;top:411;width:8473;height:15019" filled="false" stroked="true" strokeweight="1pt" strokecolor="#ffffff">
              <v:stroke dashstyle="solid"/>
            </v:rect>
            <v:shape style="position:absolute;left:3456;top:2580;width:8453;height:12768" type="#_x0000_t75" stroked="false">
              <v:imagedata r:id="rId7" o:title=""/>
            </v:shape>
            <v:rect style="position:absolute;left:1883;top:6461;width:1563;height:1517" filled="true" fillcolor="#a7c0de" stroked="false">
              <v:fill opacity="52428f" type="solid"/>
            </v:rect>
            <v:rect style="position:absolute;left:1883;top:6461;width:1563;height:1517" filled="false" stroked="true" strokeweight="1pt" strokecolor="#ffffff">
              <v:stroke dashstyle="solid"/>
            </v:rect>
            <v:rect style="position:absolute;left:1883;top:4944;width:1563;height:1517" filled="true" fillcolor="#a7c0de" stroked="false">
              <v:fill opacity="32896f" type="solid"/>
            </v:rect>
            <v:rect style="position:absolute;left:1883;top:4944;width:1563;height:1517" filled="false" stroked="true" strokeweight="1pt" strokecolor="#ffffff">
              <v:stroke dashstyle="solid"/>
            </v:rect>
            <v:rect style="position:absolute;left:321;top:4944;width:1563;height:1517" filled="true" fillcolor="#a7c0de" stroked="false">
              <v:fill opacity="52428f" type="solid"/>
            </v:rect>
            <v:rect style="position:absolute;left:321;top:4944;width:1563;height:1517" filled="false" stroked="true" strokeweight="1pt" strokecolor="#ffffff">
              <v:stroke dashstyle="solid"/>
            </v:rect>
            <v:rect style="position:absolute;left:321;top:3427;width:1563;height:1517" filled="true" fillcolor="#a7c0de" stroked="false">
              <v:fill opacity="32896f" type="solid"/>
            </v:rect>
            <v:rect style="position:absolute;left:321;top:3427;width:1563;height:1517" filled="false" stroked="true" strokeweight="1pt" strokecolor="#ffffff">
              <v:stroke dashstyle="solid"/>
            </v:rect>
            <v:rect style="position:absolute;left:321;top:6461;width:1563;height:1517" filled="true" fillcolor="#a7c0de" stroked="false">
              <v:fill opacity="32896f" type="solid"/>
            </v:rect>
            <v:rect style="position:absolute;left:321;top:6461;width:1563;height:1517" filled="false" stroked="true" strokeweight="1pt" strokecolor="#ffffff">
              <v:stroke dashstyle="solid"/>
            </v:rect>
            <v:rect style="position:absolute;left:1883;top:7977;width:1563;height:1517" filled="true" fillcolor="#a7c0de" stroked="false">
              <v:fill opacity="32896f" type="solid"/>
            </v:rect>
            <v:rect style="position:absolute;left:1883;top:7977;width:1563;height:1517" filled="false" stroked="true" strokeweight="1pt" strokecolor="#ffffff">
              <v:stroke dashstyle="solid"/>
            </v:rect>
            <v:shape style="position:absolute;left:2679;top:401;width:1583;height:1538" type="#_x0000_t75" stroked="false">
              <v:imagedata r:id="rId8" o:title=""/>
            </v:shape>
            <v:rect style="position:absolute;left:10828;top:14759;width:391;height:377" filled="true" fillcolor="#bebebe" stroked="false">
              <v:fill opacity="32896f" type="solid"/>
            </v:rect>
            <v:rect style="position:absolute;left:10828;top:14753;width:391;height:383" filled="false" stroked="true" strokeweight="1pt" strokecolor="#ffffff">
              <v:stroke dashstyle="solid"/>
            </v:rect>
            <v:rect style="position:absolute;left:10828;top:14376;width:391;height:383" filled="true" fillcolor="#c0504d" stroked="false">
              <v:fill type="solid"/>
            </v:rect>
            <v:rect style="position:absolute;left:10828;top:14376;width:391;height:383" filled="false" stroked="true" strokeweight="1pt" strokecolor="#ffffff">
              <v:stroke dashstyle="solid"/>
            </v:rect>
            <v:rect style="position:absolute;left:11218;top:14376;width:391;height:383" filled="true" fillcolor="#bebebe" stroked="false">
              <v:fill opacity="32896f" type="solid"/>
            </v:rect>
            <v:rect style="position:absolute;left:11218;top:14376;width:391;height:383" filled="false" stroked="true" strokeweight="1pt" strokecolor="#ffffff">
              <v:stroke dashstyle="solid"/>
            </v:rect>
            <v:shape style="position:absolute;left:3448;top:13754;width:7097;height:1383" type="#_x0000_t75" stroked="false">
              <v:imagedata r:id="rId9" o:title=""/>
            </v:shape>
            <v:rect style="position:absolute;left:480;top:480;width:89;height:60" filled="true" fillcolor="#000000" stroked="false">
              <v:fill type="solid"/>
            </v:rect>
            <v:rect style="position:absolute;left:540;top:540;width:29;height:15" filled="true" fillcolor="#ffffff" stroked="false">
              <v:fill type="solid"/>
            </v:rect>
            <v:line style="position:absolute" from="569,510" to="11674,510" stroked="true" strokeweight="3pt" strokecolor="#000000">
              <v:stroke dashstyle="solid"/>
            </v:line>
            <v:line style="position:absolute" from="569,547" to="11674,547" stroked="true" strokeweight=".72pt" strokecolor="#ffffff">
              <v:stroke dashstyle="solid"/>
            </v:line>
            <v:line style="position:absolute" from="569,562" to="11674,562" stroked="true" strokeweight=".72pt" strokecolor="#000000">
              <v:stroke dashstyle="solid"/>
            </v:line>
            <v:rect style="position:absolute;left:11673;top:480;width:89;height:60" filled="true" fillcolor="#000000" stroked="false">
              <v:fill type="solid"/>
            </v:rect>
            <v:rect style="position:absolute;left:11673;top:540;width:75;height:15" filled="true" fillcolor="#ffffff" stroked="false">
              <v:fill type="solid"/>
            </v:rect>
            <v:line style="position:absolute" from="510,480" to="510,15842" stroked="true" strokeweight="3pt" strokecolor="#000000">
              <v:stroke dashstyle="solid"/>
            </v:line>
            <v:line style="position:absolute" from="547,540" to="547,15842" stroked="true" strokeweight=".72pt" strokecolor="#ffffff">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41,540" to="11741,15842" stroked="true" strokeweight=".72003pt" strokecolor="#ffffff">
              <v:stroke dashstyle="solid"/>
            </v:line>
            <v:line style="position:absolute" from="11704,554" to="11704,15842" stroked="true" strokeweight="3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spacing w:before="3"/>
        <w:rPr>
          <w:sz w:val="19"/>
        </w:rPr>
      </w:pPr>
    </w:p>
    <w:p>
      <w:pPr>
        <w:spacing w:line="915" w:lineRule="exact" w:before="0"/>
        <w:ind w:left="2597" w:right="0" w:firstLine="0"/>
        <w:jc w:val="left"/>
        <w:rPr>
          <w:rFonts w:ascii="Calibri"/>
          <w:b/>
          <w:sz w:val="80"/>
        </w:rPr>
      </w:pPr>
      <w:r>
        <w:rPr>
          <w:rFonts w:ascii="Calibri"/>
          <w:b/>
          <w:color w:val="FFFFFF"/>
          <w:sz w:val="80"/>
        </w:rPr>
        <w:t>Analysis of Financial</w:t>
      </w:r>
    </w:p>
    <w:p>
      <w:pPr>
        <w:spacing w:line="976" w:lineRule="exact" w:before="0"/>
        <w:ind w:left="2597" w:right="0" w:firstLine="0"/>
        <w:jc w:val="left"/>
        <w:rPr>
          <w:rFonts w:ascii="Calibri"/>
          <w:b/>
          <w:sz w:val="80"/>
        </w:rPr>
      </w:pPr>
      <w:r>
        <w:rPr>
          <w:rFonts w:ascii="Calibri"/>
          <w:b/>
          <w:color w:val="FFFFFF"/>
          <w:sz w:val="80"/>
        </w:rPr>
        <w:t>Statement</w:t>
      </w:r>
    </w:p>
    <w:p>
      <w:pPr>
        <w:spacing w:line="488" w:lineRule="exact" w:before="0"/>
        <w:ind w:left="2597" w:right="0" w:firstLine="0"/>
        <w:jc w:val="left"/>
        <w:rPr>
          <w:rFonts w:ascii="Calibri"/>
          <w:sz w:val="40"/>
        </w:rPr>
      </w:pPr>
      <w:r>
        <w:rPr>
          <w:rFonts w:ascii="Calibri"/>
          <w:color w:val="FFFFFF"/>
          <w:sz w:val="40"/>
        </w:rPr>
        <w:t>Formal Assignment Report</w:t>
      </w:r>
    </w:p>
    <w:p>
      <w:pPr>
        <w:spacing w:after="0" w:line="488" w:lineRule="exact"/>
        <w:jc w:val="left"/>
        <w:rPr>
          <w:rFonts w:ascii="Calibri"/>
          <w:sz w:val="40"/>
        </w:rPr>
        <w:sectPr>
          <w:type w:val="continuous"/>
          <w:pgSz w:w="12240" w:h="15840"/>
          <w:pgMar w:top="1500" w:bottom="280" w:left="1220" w:right="1220"/>
        </w:sectPr>
      </w:pPr>
    </w:p>
    <w:p>
      <w:pPr>
        <w:pStyle w:val="Heading1"/>
      </w:pPr>
      <w:r>
        <w:rPr/>
        <w:pict>
          <v:group style="position:absolute;margin-left:24pt;margin-top:24pt;width:564.15pt;height:768.15pt;mso-position-horizontal-relative:page;mso-position-vertical-relative:page;z-index:-253599744"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color w:val="365F91"/>
        </w:rPr>
        <w:t>Table of Contents</w:t>
      </w:r>
    </w:p>
    <w:sdt>
      <w:sdtPr>
        <w:docPartObj>
          <w:docPartGallery w:val="Table of Contents"/>
          <w:docPartUnique/>
        </w:docPartObj>
      </w:sdtPr>
      <w:sdtEndPr/>
      <w:sdtContent>
        <w:p>
          <w:pPr>
            <w:pStyle w:val="TOC3"/>
            <w:tabs>
              <w:tab w:pos="9437" w:val="left" w:leader="dot"/>
            </w:tabs>
            <w:rPr>
              <w:rFonts w:ascii="Arial"/>
            </w:rPr>
          </w:pPr>
          <w:hyperlink w:history="true" w:anchor="_bookmark0">
            <w:r>
              <w:rPr/>
              <w:t>Introduction</w:t>
              <w:tab/>
            </w:r>
            <w:r>
              <w:rPr>
                <w:rFonts w:ascii="Arial"/>
              </w:rPr>
              <w:t>3</w:t>
            </w:r>
          </w:hyperlink>
        </w:p>
        <w:p>
          <w:pPr>
            <w:pStyle w:val="TOC2"/>
            <w:numPr>
              <w:ilvl w:val="0"/>
              <w:numId w:val="1"/>
            </w:numPr>
            <w:tabs>
              <w:tab w:pos="461" w:val="left" w:leader="none"/>
              <w:tab w:pos="9437" w:val="left" w:leader="dot"/>
            </w:tabs>
            <w:spacing w:line="240" w:lineRule="auto" w:before="258" w:after="0"/>
            <w:ind w:left="460" w:right="0" w:hanging="241"/>
            <w:jc w:val="left"/>
            <w:rPr>
              <w:rFonts w:ascii="Arial"/>
            </w:rPr>
          </w:pPr>
          <w:hyperlink w:history="true" w:anchor="_bookmark1">
            <w:r>
              <w:rPr/>
              <w:t>Brief</w:t>
            </w:r>
            <w:r>
              <w:rPr>
                <w:spacing w:val="-1"/>
              </w:rPr>
              <w:t> </w:t>
            </w:r>
            <w:r>
              <w:rPr/>
              <w:t>Review</w:t>
              <w:tab/>
            </w:r>
            <w:r>
              <w:rPr>
                <w:rFonts w:ascii="Arial"/>
              </w:rPr>
              <w:t>3</w:t>
            </w:r>
          </w:hyperlink>
        </w:p>
        <w:p>
          <w:pPr>
            <w:pStyle w:val="TOC2"/>
            <w:numPr>
              <w:ilvl w:val="0"/>
              <w:numId w:val="1"/>
            </w:numPr>
            <w:tabs>
              <w:tab w:pos="461" w:val="left" w:leader="none"/>
              <w:tab w:pos="9437" w:val="left" w:leader="dot"/>
            </w:tabs>
            <w:spacing w:line="240" w:lineRule="auto" w:before="259" w:after="0"/>
            <w:ind w:left="460" w:right="0" w:hanging="241"/>
            <w:jc w:val="left"/>
            <w:rPr>
              <w:rFonts w:ascii="Arial"/>
            </w:rPr>
          </w:pPr>
          <w:hyperlink w:history="true" w:anchor="_bookmark2">
            <w:r>
              <w:rPr/>
              <w:t>Analysis of</w:t>
            </w:r>
            <w:r>
              <w:rPr>
                <w:spacing w:val="-4"/>
              </w:rPr>
              <w:t> </w:t>
            </w:r>
            <w:r>
              <w:rPr/>
              <w:t>Financial</w:t>
            </w:r>
            <w:r>
              <w:rPr>
                <w:spacing w:val="-2"/>
              </w:rPr>
              <w:t> </w:t>
            </w:r>
            <w:r>
              <w:rPr/>
              <w:t>Performance</w:t>
              <w:tab/>
            </w:r>
            <w:r>
              <w:rPr>
                <w:rFonts w:ascii="Arial"/>
              </w:rPr>
              <w:t>4</w:t>
            </w:r>
          </w:hyperlink>
        </w:p>
        <w:p>
          <w:pPr>
            <w:pStyle w:val="TOC1"/>
            <w:tabs>
              <w:tab w:pos="8977" w:val="left" w:leader="dot"/>
            </w:tabs>
            <w:rPr>
              <w:rFonts w:ascii="Arial"/>
            </w:rPr>
          </w:pPr>
          <w:hyperlink w:history="true" w:anchor="_bookmark3">
            <w:r>
              <w:rPr/>
              <w:t>Liquidity</w:t>
            </w:r>
            <w:r>
              <w:rPr>
                <w:spacing w:val="-6"/>
              </w:rPr>
              <w:t> </w:t>
            </w:r>
            <w:r>
              <w:rPr/>
              <w:t>Ratio</w:t>
              <w:tab/>
            </w:r>
            <w:r>
              <w:rPr>
                <w:rFonts w:ascii="Arial"/>
                <w:w w:val="95"/>
              </w:rPr>
              <w:t>5</w:t>
            </w:r>
          </w:hyperlink>
        </w:p>
        <w:p>
          <w:pPr>
            <w:pStyle w:val="TOC1"/>
            <w:tabs>
              <w:tab w:pos="8737" w:val="left" w:leader="dot"/>
            </w:tabs>
            <w:rPr>
              <w:rFonts w:ascii="Arial"/>
            </w:rPr>
          </w:pPr>
          <w:hyperlink w:history="true" w:anchor="_bookmark4">
            <w:r>
              <w:rPr/>
              <w:t>Current</w:t>
            </w:r>
            <w:r>
              <w:rPr>
                <w:spacing w:val="-2"/>
              </w:rPr>
              <w:t> </w:t>
            </w:r>
            <w:r>
              <w:rPr/>
              <w:t>Ratio</w:t>
              <w:tab/>
            </w:r>
            <w:r>
              <w:rPr>
                <w:rFonts w:ascii="Arial"/>
                <w:w w:val="95"/>
              </w:rPr>
              <w:t>5</w:t>
            </w:r>
          </w:hyperlink>
        </w:p>
        <w:p>
          <w:pPr>
            <w:pStyle w:val="TOC1"/>
            <w:tabs>
              <w:tab w:pos="8737" w:val="left" w:leader="dot"/>
            </w:tabs>
            <w:rPr>
              <w:rFonts w:ascii="Arial"/>
            </w:rPr>
          </w:pPr>
          <w:hyperlink w:history="true" w:anchor="_bookmark5">
            <w:r>
              <w:rPr/>
              <w:t>Quick</w:t>
            </w:r>
            <w:r>
              <w:rPr>
                <w:spacing w:val="-1"/>
              </w:rPr>
              <w:t> </w:t>
            </w:r>
            <w:r>
              <w:rPr/>
              <w:t>Ratio</w:t>
              <w:tab/>
            </w:r>
            <w:r>
              <w:rPr>
                <w:rFonts w:ascii="Arial"/>
                <w:w w:val="95"/>
              </w:rPr>
              <w:t>6</w:t>
            </w:r>
          </w:hyperlink>
        </w:p>
        <w:p>
          <w:pPr>
            <w:pStyle w:val="TOC1"/>
            <w:tabs>
              <w:tab w:pos="8977" w:val="left" w:leader="dot"/>
            </w:tabs>
            <w:spacing w:before="259"/>
            <w:rPr>
              <w:rFonts w:ascii="Arial"/>
            </w:rPr>
          </w:pPr>
          <w:hyperlink w:history="true" w:anchor="_bookmark6">
            <w:r>
              <w:rPr/>
              <w:t>Profitability</w:t>
            </w:r>
            <w:r>
              <w:rPr>
                <w:spacing w:val="-8"/>
              </w:rPr>
              <w:t> </w:t>
            </w:r>
            <w:r>
              <w:rPr/>
              <w:t>Ratios</w:t>
              <w:tab/>
            </w:r>
            <w:r>
              <w:rPr>
                <w:rFonts w:ascii="Arial"/>
                <w:w w:val="95"/>
              </w:rPr>
              <w:t>7</w:t>
            </w:r>
          </w:hyperlink>
        </w:p>
        <w:p>
          <w:pPr>
            <w:pStyle w:val="TOC1"/>
            <w:tabs>
              <w:tab w:pos="8737" w:val="left" w:leader="dot"/>
            </w:tabs>
            <w:rPr>
              <w:rFonts w:ascii="Arial"/>
            </w:rPr>
          </w:pPr>
          <w:hyperlink w:history="true" w:anchor="_bookmark7">
            <w:r>
              <w:rPr/>
              <w:t>Earnings per</w:t>
            </w:r>
            <w:r>
              <w:rPr>
                <w:spacing w:val="-3"/>
              </w:rPr>
              <w:t> </w:t>
            </w:r>
            <w:r>
              <w:rPr/>
              <w:t>Share</w:t>
            </w:r>
            <w:r>
              <w:rPr>
                <w:spacing w:val="-2"/>
              </w:rPr>
              <w:t> </w:t>
            </w:r>
            <w:r>
              <w:rPr/>
              <w:t>(EPS)</w:t>
              <w:tab/>
            </w:r>
            <w:r>
              <w:rPr>
                <w:rFonts w:ascii="Arial"/>
                <w:w w:val="95"/>
              </w:rPr>
              <w:t>7</w:t>
            </w:r>
          </w:hyperlink>
        </w:p>
        <w:p>
          <w:pPr>
            <w:pStyle w:val="TOC1"/>
            <w:tabs>
              <w:tab w:pos="8737" w:val="left" w:leader="dot"/>
            </w:tabs>
            <w:rPr>
              <w:rFonts w:ascii="Arial"/>
            </w:rPr>
          </w:pPr>
          <w:hyperlink w:history="true" w:anchor="_bookmark8">
            <w:r>
              <w:rPr/>
              <w:t>Gross Profit Margin and Net</w:t>
            </w:r>
            <w:r>
              <w:rPr>
                <w:spacing w:val="-7"/>
              </w:rPr>
              <w:t> </w:t>
            </w:r>
            <w:r>
              <w:rPr/>
              <w:t>Profit</w:t>
            </w:r>
            <w:r>
              <w:rPr>
                <w:spacing w:val="-1"/>
              </w:rPr>
              <w:t> </w:t>
            </w:r>
            <w:r>
              <w:rPr/>
              <w:t>Margin</w:t>
              <w:tab/>
            </w:r>
            <w:r>
              <w:rPr>
                <w:rFonts w:ascii="Arial"/>
                <w:w w:val="95"/>
              </w:rPr>
              <w:t>7</w:t>
            </w:r>
          </w:hyperlink>
        </w:p>
        <w:p>
          <w:pPr>
            <w:pStyle w:val="TOC1"/>
            <w:tabs>
              <w:tab w:pos="8977" w:val="left" w:leader="dot"/>
            </w:tabs>
            <w:spacing w:before="256"/>
            <w:rPr>
              <w:rFonts w:ascii="Arial"/>
            </w:rPr>
          </w:pPr>
          <w:hyperlink w:history="true" w:anchor="_bookmark9">
            <w:r>
              <w:rPr/>
              <w:t>Efficiency</w:t>
            </w:r>
            <w:r>
              <w:rPr>
                <w:spacing w:val="-5"/>
              </w:rPr>
              <w:t> </w:t>
            </w:r>
            <w:r>
              <w:rPr/>
              <w:t>Ratios</w:t>
              <w:tab/>
            </w:r>
            <w:r>
              <w:rPr>
                <w:rFonts w:ascii="Arial"/>
                <w:w w:val="95"/>
              </w:rPr>
              <w:t>9</w:t>
            </w:r>
          </w:hyperlink>
        </w:p>
        <w:p>
          <w:pPr>
            <w:pStyle w:val="TOC1"/>
            <w:tabs>
              <w:tab w:pos="8737" w:val="left" w:leader="dot"/>
            </w:tabs>
            <w:rPr>
              <w:rFonts w:ascii="Arial"/>
            </w:rPr>
          </w:pPr>
          <w:hyperlink w:history="true" w:anchor="_bookmark10">
            <w:r>
              <w:rPr/>
              <w:t>Sales</w:t>
            </w:r>
            <w:r>
              <w:rPr>
                <w:spacing w:val="-1"/>
              </w:rPr>
              <w:t> </w:t>
            </w:r>
            <w:r>
              <w:rPr/>
              <w:t>to</w:t>
            </w:r>
            <w:r>
              <w:rPr>
                <w:spacing w:val="2"/>
              </w:rPr>
              <w:t> </w:t>
            </w:r>
            <w:r>
              <w:rPr/>
              <w:t>Inventory</w:t>
              <w:tab/>
            </w:r>
            <w:r>
              <w:rPr>
                <w:rFonts w:ascii="Arial"/>
                <w:w w:val="95"/>
              </w:rPr>
              <w:t>9</w:t>
            </w:r>
          </w:hyperlink>
        </w:p>
        <w:p>
          <w:pPr>
            <w:pStyle w:val="TOC1"/>
            <w:numPr>
              <w:ilvl w:val="0"/>
              <w:numId w:val="1"/>
            </w:numPr>
            <w:tabs>
              <w:tab w:pos="461" w:val="left" w:leader="none"/>
              <w:tab w:pos="9085" w:val="left" w:leader="dot"/>
            </w:tabs>
            <w:spacing w:line="240" w:lineRule="auto" w:before="258" w:after="0"/>
            <w:ind w:left="460" w:right="223" w:hanging="461"/>
            <w:jc w:val="right"/>
            <w:rPr>
              <w:rFonts w:ascii="Arial"/>
            </w:rPr>
          </w:pPr>
          <w:hyperlink w:history="true" w:anchor="_bookmark11">
            <w:r>
              <w:rPr/>
              <w:t>A) Estimation of Value of Stake in</w:t>
            </w:r>
            <w:r>
              <w:rPr>
                <w:spacing w:val="-5"/>
              </w:rPr>
              <w:t> </w:t>
            </w:r>
            <w:r>
              <w:rPr/>
              <w:t>the</w:t>
            </w:r>
            <w:r>
              <w:rPr>
                <w:spacing w:val="-1"/>
              </w:rPr>
              <w:t> </w:t>
            </w:r>
            <w:r>
              <w:rPr/>
              <w:t>Competitor</w:t>
              <w:tab/>
            </w:r>
            <w:r>
              <w:rPr>
                <w:rFonts w:ascii="Arial"/>
                <w:w w:val="95"/>
              </w:rPr>
              <w:t>10</w:t>
            </w:r>
          </w:hyperlink>
        </w:p>
        <w:p>
          <w:pPr>
            <w:pStyle w:val="TOC1"/>
            <w:tabs>
              <w:tab w:pos="9085" w:val="left" w:leader="dot"/>
            </w:tabs>
            <w:spacing w:before="259"/>
            <w:ind w:right="223"/>
            <w:rPr>
              <w:rFonts w:ascii="Arial"/>
            </w:rPr>
          </w:pPr>
          <w:hyperlink w:history="true" w:anchor="_bookmark12">
            <w:r>
              <w:rPr/>
              <w:t>3. B) Conclusion</w:t>
            </w:r>
            <w:r>
              <w:rPr>
                <w:spacing w:val="-2"/>
              </w:rPr>
              <w:t> </w:t>
            </w:r>
            <w:r>
              <w:rPr/>
              <w:t>&amp;</w:t>
            </w:r>
            <w:r>
              <w:rPr>
                <w:spacing w:val="-2"/>
              </w:rPr>
              <w:t> </w:t>
            </w:r>
            <w:r>
              <w:rPr/>
              <w:t>Recommendation</w:t>
              <w:tab/>
            </w:r>
            <w:r>
              <w:rPr>
                <w:rFonts w:ascii="Arial"/>
                <w:w w:val="95"/>
              </w:rPr>
              <w:t>11</w:t>
            </w:r>
          </w:hyperlink>
        </w:p>
        <w:p>
          <w:pPr>
            <w:pStyle w:val="TOC1"/>
            <w:tabs>
              <w:tab w:pos="9085" w:val="left" w:leader="dot"/>
            </w:tabs>
            <w:ind w:right="223"/>
            <w:rPr>
              <w:rFonts w:ascii="Arial"/>
            </w:rPr>
          </w:pPr>
          <w:hyperlink w:history="true" w:anchor="_bookmark13">
            <w:r>
              <w:rPr/>
              <w:t>Bibliography</w:t>
              <w:tab/>
            </w:r>
            <w:r>
              <w:rPr>
                <w:rFonts w:ascii="Arial"/>
                <w:w w:val="95"/>
              </w:rPr>
              <w:t>13</w:t>
            </w:r>
          </w:hyperlink>
        </w:p>
        <w:p>
          <w:pPr>
            <w:pStyle w:val="TOC4"/>
            <w:tabs>
              <w:tab w:pos="9305" w:val="left" w:leader="dot"/>
            </w:tabs>
          </w:pPr>
          <w:hyperlink w:history="true" w:anchor="_bookmark14">
            <w:r>
              <w:rPr/>
              <w:t>Appendix</w:t>
              <w:tab/>
              <w:t>18</w:t>
            </w:r>
          </w:hyperlink>
        </w:p>
      </w:sdtContent>
    </w:sdt>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8"/>
        </w:rPr>
      </w:pPr>
      <w:r>
        <w:rPr/>
        <w:pict>
          <v:group style="position:absolute;margin-left:281.25pt;margin-top:18.398024pt;width:49.35pt;height:49.35pt;mso-position-horizontal-relative:page;mso-position-vertical-relative:paragraph;z-index:-251656192;mso-wrap-distance-left:0;mso-wrap-distance-right:0" coordorigin="5625,368" coordsize="987,987">
            <v:shape style="position:absolute;left:5625;top:367;width:987;height:987" coordorigin="5625,368" coordsize="987,987" path="m6119,368l6046,373,5976,389,5911,414,5850,447,5795,489,5746,538,5705,593,5671,653,5646,719,5630,789,5625,861,5630,934,5646,1004,5671,1070,5705,1130,5746,1185,5795,1234,5850,1275,5911,1309,5976,1334,6046,1350,6119,1355,6191,1350,6261,1334,6327,1309,6387,1275,6442,1234,6491,1185,6532,1130,6566,1070,6591,1004,6607,934,6612,861,6607,789,6591,719,6566,653,6532,593,6491,538,6442,489,6387,447,6327,414,6261,389,6191,373,6119,368xe" filled="true" fillcolor="#375f92" stroked="false">
              <v:path arrowok="t"/>
              <v:fill type="solid"/>
            </v:shape>
            <v:shape style="position:absolute;left:5769;top:584;width:699;height:555" type="#_x0000_t75" stroked="false">
              <v:imagedata r:id="rId10" o:title=""/>
            </v:shape>
            <v:shapetype id="_x0000_t202" o:spt="202" coordsize="21600,21600" path="m,l,21600r21600,l21600,xe">
              <v:stroke joinstyle="miter"/>
              <v:path gradientshapeok="t" o:connecttype="rect"/>
            </v:shapetype>
            <v:shape style="position:absolute;left:5625;top:367;width:987;height:987" type="#_x0000_t202" filled="false" stroked="false">
              <v:textbox inset="0,0,0,0">
                <w:txbxContent>
                  <w:p>
                    <w:pPr>
                      <w:spacing w:before="315"/>
                      <w:ind w:left="0" w:right="0" w:firstLine="0"/>
                      <w:jc w:val="center"/>
                      <w:rPr>
                        <w:rFonts w:ascii="Arial"/>
                        <w:b/>
                        <w:sz w:val="32"/>
                      </w:rPr>
                    </w:pPr>
                    <w:r>
                      <w:rPr>
                        <w:rFonts w:ascii="Arial"/>
                        <w:b/>
                        <w:color w:val="FFFFFF"/>
                        <w:w w:val="99"/>
                        <w:sz w:val="32"/>
                      </w:rPr>
                      <w:t>2</w:t>
                    </w:r>
                  </w:p>
                </w:txbxContent>
              </v:textbox>
              <w10:wrap type="none"/>
            </v:shape>
            <w10:wrap type="topAndBottom"/>
          </v:group>
        </w:pict>
      </w:r>
    </w:p>
    <w:p>
      <w:pPr>
        <w:spacing w:after="0"/>
        <w:rPr>
          <w:rFonts w:ascii="Arial"/>
          <w:sz w:val="28"/>
        </w:rPr>
        <w:sectPr>
          <w:pgSz w:w="12240" w:h="15840"/>
          <w:pgMar w:top="1360" w:bottom="0" w:left="1220" w:right="1220"/>
        </w:sectPr>
      </w:pPr>
    </w:p>
    <w:p>
      <w:pPr>
        <w:pStyle w:val="Heading1"/>
      </w:pPr>
      <w:r>
        <w:rPr/>
        <w:pict>
          <v:group style="position:absolute;margin-left:24pt;margin-top:24pt;width:564.15pt;height:768.15pt;mso-position-horizontal-relative:page;mso-position-vertical-relative:page;z-index:-253596672"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bookmarkStart w:name="_bookmark0" w:id="1"/>
      <w:bookmarkEnd w:id="1"/>
      <w:r>
        <w:rPr>
          <w:b w:val="0"/>
        </w:rPr>
      </w:r>
      <w:r>
        <w:rPr>
          <w:color w:val="365F91"/>
        </w:rPr>
        <w:t>Introduction</w:t>
      </w:r>
    </w:p>
    <w:p>
      <w:pPr>
        <w:pStyle w:val="BodyText"/>
        <w:spacing w:before="11"/>
        <w:rPr>
          <w:b/>
          <w:sz w:val="21"/>
        </w:rPr>
      </w:pPr>
    </w:p>
    <w:p>
      <w:pPr>
        <w:pStyle w:val="BodyText"/>
        <w:spacing w:line="360" w:lineRule="auto"/>
        <w:ind w:left="220" w:right="215"/>
        <w:jc w:val="both"/>
      </w:pPr>
      <w:r>
        <w:rPr/>
        <w:t>The purpose of creating this report is entirely involved with the financial analysis based on the financial statements or other relevant sources. To go further with the topic, the report needs a specific company to make progress (McMillan, 2010). The selection of the company had come across a certain criteria which are that the company should not be some financial  service provider and it should be listed under FTSE. Now FTSE is share price index and it is the subsidiary group of the London Stock Exchange. The stock indices of it are widely used by the world and also the analytical firms as well (Ohlson, 2000). So the stock indices are particular thing that can measure the high performance of the business according to the regulation of company law of UK. The report should be published in a form that can be helpful for the senior executives of the company. Here in this report the certain financial and operation perspectives of the specifically selected company will be discussed with making the proper analysis (Saunders, 2010). The performed analysis done in this report is strongly based on the calculation of ratios and the reflection that those have to say about the company. As per the description and the regarding on the basis of criteria maintained, the company of Sports Direct International plc is selected as it is assumed that the company is appropriate to investigate further with the report. The following portion of the report will be based on this certain company and part of analysis will be done</w:t>
      </w:r>
      <w:r>
        <w:rPr>
          <w:spacing w:val="-3"/>
        </w:rPr>
        <w:t> </w:t>
      </w:r>
      <w:r>
        <w:rPr/>
        <w:t>accordingly.</w:t>
      </w:r>
    </w:p>
    <w:p>
      <w:pPr>
        <w:pStyle w:val="BodyText"/>
        <w:rPr>
          <w:sz w:val="26"/>
        </w:rPr>
      </w:pPr>
    </w:p>
    <w:p>
      <w:pPr>
        <w:pStyle w:val="Heading1"/>
        <w:numPr>
          <w:ilvl w:val="0"/>
          <w:numId w:val="2"/>
        </w:numPr>
        <w:tabs>
          <w:tab w:pos="461" w:val="left" w:leader="none"/>
        </w:tabs>
        <w:spacing w:line="240" w:lineRule="auto" w:before="188" w:after="0"/>
        <w:ind w:left="460" w:right="0" w:hanging="241"/>
        <w:jc w:val="left"/>
      </w:pPr>
      <w:bookmarkStart w:name="_bookmark1" w:id="2"/>
      <w:bookmarkEnd w:id="2"/>
      <w:r>
        <w:rPr>
          <w:b w:val="0"/>
        </w:rPr>
      </w:r>
      <w:bookmarkStart w:name="_bookmark1" w:id="3"/>
      <w:bookmarkEnd w:id="3"/>
      <w:r>
        <w:rPr>
          <w:color w:val="365F91"/>
        </w:rPr>
        <w:t>Bri</w:t>
      </w:r>
      <w:r>
        <w:rPr>
          <w:color w:val="365F91"/>
        </w:rPr>
        <w:t>ef Review</w:t>
      </w:r>
    </w:p>
    <w:p>
      <w:pPr>
        <w:pStyle w:val="BodyText"/>
        <w:spacing w:before="11"/>
        <w:rPr>
          <w:b/>
          <w:sz w:val="21"/>
        </w:rPr>
      </w:pPr>
    </w:p>
    <w:p>
      <w:pPr>
        <w:pStyle w:val="BodyText"/>
        <w:spacing w:line="360" w:lineRule="auto"/>
        <w:ind w:left="220" w:right="220"/>
        <w:jc w:val="both"/>
      </w:pPr>
      <w:r>
        <w:rPr/>
        <w:t>Sports Direct International plc is a group of British retailing industry and the name of the founder of this company is Mike Ashley who situated this company in 1982. The company is a multinational company and it proved to be the largest sporting retailer in the country of UK and it has overall 500 stores worldwide. Sporting goods and equipments are sold by the company (Weygandt, 2009). The large number of sporting brand is covered by the company and also does the business on the basis of sportsdirect.com brand. The speciality of the company is that it operates under the low margin and the company owned some of the other retailers as well as part of its business operations (Yang &amp; Ma,</w:t>
      </w:r>
      <w:r>
        <w:rPr>
          <w:spacing w:val="-5"/>
        </w:rPr>
        <w:t> </w:t>
      </w:r>
      <w:r>
        <w:rPr/>
        <w:t>2013).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r>
        <w:rPr/>
        <w:pict>
          <v:group style="position:absolute;margin-left:281.25pt;margin-top:11.202516pt;width:49.35pt;height:49.35pt;mso-position-horizontal-relative:page;mso-position-vertical-relative:paragraph;z-index:-251653120;mso-wrap-distance-left:0;mso-wrap-distance-right:0" coordorigin="5625,224" coordsize="987,987">
            <v:shape style="position:absolute;left:5625;top:224;width:987;height:987" coordorigin="5625,224" coordsize="987,987" path="m6119,224l6046,229,5976,245,5911,270,5850,304,5795,345,5746,394,5705,449,5671,510,5646,575,5630,645,5625,718,5630,790,5646,860,5671,926,5705,986,5746,1041,5795,1090,5850,1132,5911,1165,5976,1190,6046,1206,6119,1211,6191,1206,6261,1190,6327,1165,6387,1132,6442,1090,6491,1041,6532,986,6566,926,6591,860,6607,790,6612,718,6607,645,6591,575,6566,510,6532,449,6491,394,6442,345,6387,304,6327,270,6261,245,6191,229,6119,224xe" filled="true" fillcolor="#375f92" stroked="false">
              <v:path arrowok="t"/>
              <v:fill type="solid"/>
            </v:shape>
            <v:shape style="position:absolute;left:5769;top:440;width:699;height:555" type="#_x0000_t75" stroked="false">
              <v:imagedata r:id="rId10" o:title=""/>
            </v:shape>
            <v:shape style="position:absolute;left:5625;top:224;width:987;height:987" type="#_x0000_t202" filled="false" stroked="false">
              <v:textbox inset="0,0,0,0">
                <w:txbxContent>
                  <w:p>
                    <w:pPr>
                      <w:spacing w:before="315"/>
                      <w:ind w:left="0" w:right="0" w:firstLine="0"/>
                      <w:jc w:val="center"/>
                      <w:rPr>
                        <w:rFonts w:ascii="Arial"/>
                        <w:b/>
                        <w:sz w:val="32"/>
                      </w:rPr>
                    </w:pPr>
                    <w:r>
                      <w:rPr>
                        <w:rFonts w:ascii="Arial"/>
                        <w:b/>
                        <w:color w:val="FFFFFF"/>
                        <w:w w:val="99"/>
                        <w:sz w:val="32"/>
                      </w:rPr>
                      <w:t>3</w:t>
                    </w:r>
                  </w:p>
                </w:txbxContent>
              </v:textbox>
              <w10:wrap type="none"/>
            </v:shape>
            <w10:wrap type="topAndBottom"/>
          </v:group>
        </w:pict>
      </w:r>
    </w:p>
    <w:p>
      <w:pPr>
        <w:spacing w:after="0"/>
        <w:rPr>
          <w:sz w:val="16"/>
        </w:rPr>
        <w:sectPr>
          <w:pgSz w:w="12240" w:h="15840"/>
          <w:pgMar w:top="1360" w:bottom="0" w:left="1220" w:right="1220"/>
        </w:sectPr>
      </w:pPr>
    </w:p>
    <w:p>
      <w:pPr>
        <w:pStyle w:val="BodyText"/>
        <w:spacing w:line="360" w:lineRule="auto" w:before="74"/>
        <w:ind w:left="220" w:right="218"/>
        <w:jc w:val="both"/>
      </w:pPr>
      <w:r>
        <w:rPr/>
        <w:pict>
          <v:group style="position:absolute;margin-left:24pt;margin-top:24pt;width:564.15pt;height:768.15pt;mso-position-horizontal-relative:page;mso-position-vertical-relative:page;z-index:-253593600"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t>The primary aims and focus of the company is to make the highest possible profits and prove themselves as the best sporting company in the world and establish the company’s recognition in the global aspect.</w:t>
      </w:r>
    </w:p>
    <w:p>
      <w:pPr>
        <w:pStyle w:val="BodyText"/>
        <w:spacing w:line="360" w:lineRule="auto" w:before="201"/>
        <w:ind w:left="220" w:right="222"/>
        <w:jc w:val="both"/>
      </w:pPr>
      <w:r>
        <w:rPr/>
        <w:t>The future aim of the company is concentrated on opening 400 more stores in the part of the mainland Europe. So the company is looking for the opportunity to do business in the parts of Europe and keeping the fact on their side to expand globally. The focus of the company is that way can be described as ambitious (Shim, Siegel, Shim &amp; Shim, 2012).</w:t>
      </w:r>
    </w:p>
    <w:p>
      <w:pPr>
        <w:pStyle w:val="BodyText"/>
        <w:spacing w:line="360" w:lineRule="auto" w:before="199"/>
        <w:ind w:left="220" w:right="219"/>
        <w:jc w:val="both"/>
      </w:pPr>
      <w:r>
        <w:rPr/>
        <w:t>The discussion above can clearly suggest that the company is planning for the expansion in the European market as it is confirmed by the statement of the company’s chief executive, David Forsey. Another part of the company’s growth strategy consists of closing down their small store across the country and opening larger stores in their place (Saunders, 2010).</w:t>
      </w:r>
    </w:p>
    <w:p>
      <w:pPr>
        <w:pStyle w:val="BodyText"/>
        <w:spacing w:line="360" w:lineRule="auto" w:before="200"/>
        <w:ind w:left="220" w:right="219"/>
        <w:jc w:val="both"/>
      </w:pPr>
      <w:r>
        <w:rPr/>
        <w:t>The entire planning, growth strategy and the business operation which deals with future aims and objectives of the company is clearly observed as to stay ahead of the other market competitors and remain at the top position where all the competitive advantages can be gained. Also the factor of making stronger investment is the part of the company’s future plans (Plummer,</w:t>
      </w:r>
      <w:r>
        <w:rPr>
          <w:spacing w:val="-13"/>
        </w:rPr>
        <w:t> </w:t>
      </w:r>
      <w:r>
        <w:rPr/>
        <w:t>2010).</w:t>
      </w:r>
    </w:p>
    <w:p>
      <w:pPr>
        <w:pStyle w:val="BodyText"/>
        <w:rPr>
          <w:sz w:val="26"/>
        </w:rPr>
      </w:pPr>
    </w:p>
    <w:p>
      <w:pPr>
        <w:pStyle w:val="Heading1"/>
        <w:numPr>
          <w:ilvl w:val="0"/>
          <w:numId w:val="2"/>
        </w:numPr>
        <w:tabs>
          <w:tab w:pos="461" w:val="left" w:leader="none"/>
        </w:tabs>
        <w:spacing w:line="240" w:lineRule="auto" w:before="189" w:after="0"/>
        <w:ind w:left="460" w:right="0" w:hanging="241"/>
        <w:jc w:val="left"/>
      </w:pPr>
      <w:bookmarkStart w:name="_bookmark2" w:id="4"/>
      <w:bookmarkEnd w:id="4"/>
      <w:r>
        <w:rPr>
          <w:b w:val="0"/>
        </w:rPr>
      </w:r>
      <w:bookmarkStart w:name="_bookmark2" w:id="5"/>
      <w:bookmarkEnd w:id="5"/>
      <w:r>
        <w:rPr>
          <w:color w:val="365F91"/>
        </w:rPr>
        <w:t>Analysis</w:t>
      </w:r>
      <w:r>
        <w:rPr>
          <w:color w:val="365F91"/>
        </w:rPr>
        <w:t> of Financial Performance</w:t>
      </w:r>
    </w:p>
    <w:p>
      <w:pPr>
        <w:pStyle w:val="BodyText"/>
        <w:spacing w:before="10"/>
        <w:rPr>
          <w:b/>
          <w:sz w:val="21"/>
        </w:rPr>
      </w:pPr>
    </w:p>
    <w:p>
      <w:pPr>
        <w:pStyle w:val="BodyText"/>
        <w:spacing w:line="360" w:lineRule="auto" w:before="1"/>
        <w:ind w:left="220" w:right="213"/>
        <w:jc w:val="both"/>
      </w:pPr>
      <w:r>
        <w:rPr/>
        <w:t>The purpose of this section is to give a close attention to the financial perspective of Sports Direct Plc by computing and comparison of the ratios to its perspective years of operation. Profitability, efficiency and liquidity are fields what are chosen in this analysis for reflecting the effects based on the ratios. A maximum extent of current three years is considered for this purpose (Palmer, 2003). The company is currently operating in its sporting goods sector in UK and come out to be the largest sporting retailer in UK. According to the relevant reports from the sources considering the profile of the company, it is revealed that the company is currently holding the top position in UK in terms of the sporting retailer with the 61.7% holding in the market. In an addition to the sporting sector, Sports Direct has spread its other services in the market as well including the dealings with the fashionable brands for capturing the global market(McMillan, 2010). According to the annual reports published by the company, it is observed</w:t>
      </w:r>
      <w:r>
        <w:rPr>
          <w:spacing w:val="33"/>
        </w:rPr>
        <w:t> </w:t>
      </w:r>
      <w:r>
        <w:rPr/>
        <w:t>that</w:t>
      </w:r>
      <w:r>
        <w:rPr>
          <w:spacing w:val="33"/>
        </w:rPr>
        <w:t> </w:t>
      </w:r>
      <w:r>
        <w:rPr/>
        <w:t>the</w:t>
      </w:r>
      <w:r>
        <w:rPr>
          <w:spacing w:val="33"/>
        </w:rPr>
        <w:t> </w:t>
      </w:r>
      <w:r>
        <w:rPr/>
        <w:t>company</w:t>
      </w:r>
      <w:r>
        <w:rPr>
          <w:spacing w:val="28"/>
        </w:rPr>
        <w:t> </w:t>
      </w:r>
      <w:r>
        <w:rPr/>
        <w:t>is</w:t>
      </w:r>
      <w:r>
        <w:rPr>
          <w:spacing w:val="35"/>
        </w:rPr>
        <w:t> </w:t>
      </w:r>
      <w:r>
        <w:rPr/>
        <w:t>currently</w:t>
      </w:r>
      <w:r>
        <w:rPr>
          <w:spacing w:val="30"/>
        </w:rPr>
        <w:t> </w:t>
      </w:r>
      <w:r>
        <w:rPr/>
        <w:t>giving</w:t>
      </w:r>
      <w:r>
        <w:rPr>
          <w:spacing w:val="31"/>
        </w:rPr>
        <w:t> </w:t>
      </w:r>
      <w:r>
        <w:rPr/>
        <w:t>priority</w:t>
      </w:r>
      <w:r>
        <w:rPr>
          <w:spacing w:val="28"/>
        </w:rPr>
        <w:t> </w:t>
      </w:r>
      <w:r>
        <w:rPr/>
        <w:t>of</w:t>
      </w:r>
      <w:r>
        <w:rPr>
          <w:spacing w:val="33"/>
        </w:rPr>
        <w:t> </w:t>
      </w:r>
      <w:r>
        <w:rPr/>
        <w:t>focus</w:t>
      </w:r>
      <w:r>
        <w:rPr>
          <w:spacing w:val="33"/>
        </w:rPr>
        <w:t> </w:t>
      </w:r>
      <w:r>
        <w:rPr/>
        <w:t>to</w:t>
      </w:r>
      <w:r>
        <w:rPr>
          <w:spacing w:val="34"/>
        </w:rPr>
        <w:t> </w:t>
      </w:r>
      <w:r>
        <w:rPr/>
        <w:t>the</w:t>
      </w:r>
      <w:r>
        <w:rPr>
          <w:spacing w:val="32"/>
        </w:rPr>
        <w:t> </w:t>
      </w:r>
      <w:r>
        <w:rPr/>
        <w:t>non-sporting</w:t>
      </w:r>
      <w:r>
        <w:rPr>
          <w:spacing w:val="32"/>
        </w:rPr>
        <w:t> </w:t>
      </w:r>
      <w:r>
        <w:rPr/>
        <w:t>items</w:t>
      </w:r>
      <w:r>
        <w:rPr>
          <w:spacing w:val="34"/>
        </w:rPr>
        <w:t> </w:t>
      </w:r>
      <w:r>
        <w:rPr/>
        <w:t>and</w:t>
      </w:r>
    </w:p>
    <w:p>
      <w:pPr>
        <w:pStyle w:val="BodyText"/>
        <w:spacing w:before="2"/>
        <w:rPr>
          <w:sz w:val="18"/>
        </w:rPr>
      </w:pPr>
      <w:r>
        <w:rPr/>
        <w:pict>
          <v:group style="position:absolute;margin-left:281.25pt;margin-top:12.424928pt;width:49.35pt;height:49.35pt;mso-position-horizontal-relative:page;mso-position-vertical-relative:paragraph;z-index:-251650048;mso-wrap-distance-left:0;mso-wrap-distance-right:0" coordorigin="5625,248" coordsize="987,987">
            <v:shape style="position:absolute;left:5625;top:248;width:987;height:987" coordorigin="5625,248" coordsize="987,987" path="m6119,248l6046,254,5976,269,5911,294,5850,328,5795,370,5746,418,5705,473,5671,534,5646,599,5630,669,5625,742,5630,815,5646,885,5671,950,5705,1011,5746,1066,5795,1114,5850,1156,5911,1190,5976,1215,6046,1230,6119,1235,6191,1230,6261,1215,6327,1190,6387,1156,6442,1114,6491,1066,6532,1011,6566,950,6591,885,6607,815,6612,742,6607,669,6591,599,6566,534,6532,473,6491,418,6442,370,6387,328,6327,294,6261,269,6191,254,6119,248xe" filled="true" fillcolor="#375f92" stroked="false">
              <v:path arrowok="t"/>
              <v:fill type="solid"/>
            </v:shape>
            <v:shape style="position:absolute;left:5769;top:465;width:699;height:555" type="#_x0000_t75" stroked="false">
              <v:imagedata r:id="rId10" o:title=""/>
            </v:shape>
            <v:shape style="position:absolute;left:5625;top:248;width:987;height:987" type="#_x0000_t202" filled="false" stroked="false">
              <v:textbox inset="0,0,0,0">
                <w:txbxContent>
                  <w:p>
                    <w:pPr>
                      <w:spacing w:before="315"/>
                      <w:ind w:left="0" w:right="0" w:firstLine="0"/>
                      <w:jc w:val="center"/>
                      <w:rPr>
                        <w:rFonts w:ascii="Arial"/>
                        <w:b/>
                        <w:sz w:val="32"/>
                      </w:rPr>
                    </w:pPr>
                    <w:r>
                      <w:rPr>
                        <w:rFonts w:ascii="Arial"/>
                        <w:b/>
                        <w:color w:val="FFFFFF"/>
                        <w:w w:val="99"/>
                        <w:sz w:val="32"/>
                      </w:rPr>
                      <w:t>4</w:t>
                    </w:r>
                  </w:p>
                </w:txbxContent>
              </v:textbox>
              <w10:wrap type="none"/>
            </v:shape>
            <w10:wrap type="topAndBottom"/>
          </v:group>
        </w:pict>
      </w:r>
    </w:p>
    <w:p>
      <w:pPr>
        <w:spacing w:after="0"/>
        <w:rPr>
          <w:sz w:val="18"/>
        </w:rPr>
        <w:sectPr>
          <w:pgSz w:w="12240" w:h="15840"/>
          <w:pgMar w:top="1360" w:bottom="0" w:left="1220" w:right="1220"/>
        </w:sectPr>
      </w:pPr>
    </w:p>
    <w:p>
      <w:pPr>
        <w:pStyle w:val="BodyText"/>
        <w:spacing w:line="360" w:lineRule="auto" w:before="74"/>
        <w:ind w:left="220" w:right="220"/>
        <w:jc w:val="both"/>
      </w:pPr>
      <w:r>
        <w:rPr/>
        <w:pict>
          <v:group style="position:absolute;margin-left:24pt;margin-top:24pt;width:564.15pt;height:768.15pt;mso-position-horizontal-relative:page;mso-position-vertical-relative:page;z-index:-253590528"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t>non-UK business. As found in the annual report of the company for the year of 2013, the company’s revenue from the sales in non-UK market is £20.8 billion with the hike of 8% revenues from the areas of European market (Fridson &amp; Alvarez, 2002).</w:t>
      </w:r>
    </w:p>
    <w:p>
      <w:pPr>
        <w:pStyle w:val="BodyText"/>
        <w:spacing w:line="360" w:lineRule="auto" w:before="201"/>
        <w:ind w:left="220" w:right="222"/>
        <w:jc w:val="both"/>
      </w:pPr>
      <w:r>
        <w:rPr/>
        <w:t>So splitting the ratios in the areas of Profitability, Efficiency and Liquidity, the financial standings and performance of Sport Direct can be determined by following with a proper analysis. The reasoning behind the published result of the analysis carried on in this section is entirely supported by the evidence in the annual reports of the company and also other relevant analysis from various reliable sources (Elliott &amp; Elliott, 2006).</w:t>
      </w:r>
    </w:p>
    <w:p>
      <w:pPr>
        <w:pStyle w:val="Heading1"/>
        <w:spacing w:before="206"/>
        <w:jc w:val="both"/>
      </w:pPr>
      <w:bookmarkStart w:name="_bookmark3" w:id="6"/>
      <w:bookmarkEnd w:id="6"/>
      <w:r>
        <w:rPr>
          <w:b w:val="0"/>
        </w:rPr>
      </w:r>
      <w:r>
        <w:rPr>
          <w:color w:val="4F81BC"/>
        </w:rPr>
        <w:t>Liquidity Ratio</w:t>
      </w:r>
    </w:p>
    <w:p>
      <w:pPr>
        <w:pStyle w:val="BodyText"/>
        <w:spacing w:before="10"/>
        <w:rPr>
          <w:b/>
          <w:sz w:val="21"/>
        </w:rPr>
      </w:pPr>
    </w:p>
    <w:p>
      <w:pPr>
        <w:pStyle w:val="BodyText"/>
        <w:spacing w:line="360" w:lineRule="auto"/>
        <w:ind w:left="220" w:right="218"/>
        <w:jc w:val="both"/>
      </w:pPr>
      <w:r>
        <w:rPr/>
        <w:t>The measurement of liquidity ratio is done on the basis of checking the ability of the company to pay off its short-term obligations. The short term standing of the company is measured by this type of ratios. Here the short-term is focused as the debts that are due for the company and to be paid within one year time duration (Black, 2004). For this concern, the desired result from the ratios are expected to be higher as the more higher the value is, the more the company is capable to pay its debts. As for the examples, the shareholders or the investors will look for the higher value of current assets that the total value of current liabilities as it indicates the fact that the company can repay all its short term debts within a short period of time if necessary (Rao, 2006). But a higher value should not be expected as it suggests that the company is not utilizing its current assets properly during the running of the business.</w:t>
      </w:r>
    </w:p>
    <w:p>
      <w:pPr>
        <w:pStyle w:val="BodyText"/>
        <w:spacing w:line="360" w:lineRule="auto" w:before="200"/>
        <w:ind w:left="220" w:right="218"/>
        <w:jc w:val="both"/>
      </w:pPr>
      <w:bookmarkStart w:name="_bookmark4" w:id="7"/>
      <w:bookmarkEnd w:id="7"/>
      <w:r>
        <w:rPr/>
      </w:r>
      <w:r>
        <w:rPr>
          <w:b/>
        </w:rPr>
        <w:t>Current Ratio </w:t>
      </w:r>
      <w:r>
        <w:rPr/>
        <w:t>- Current ratio is one major part of the liquidity ratio as it suggests the capability of the company to repay it short term debts which might be the accounts payables and others with support of current assets such as cash, accounts receivables and inventories. The intension of the ratios is to reflect the company has adequate cash resources or not, or it will face the cash flow problem in near future (Flower &amp; Ebbers, 2002). Depending on the cash flow and types of industries, the result of the current ratio can vary but a desired result of 2:1 is always considered as the benchmark for analysis. On the other hand, the ratio which represent the result less than 1 are considered that the company will not able to pay its short term debts quite sufficiently (Fridson &amp; Alvarez,</w:t>
      </w:r>
      <w:r>
        <w:rPr>
          <w:spacing w:val="-1"/>
        </w:rPr>
        <w:t> </w:t>
      </w:r>
      <w:r>
        <w:rPr/>
        <w:t>2002).</w:t>
      </w:r>
    </w:p>
    <w:p>
      <w:pPr>
        <w:pStyle w:val="BodyText"/>
        <w:rPr>
          <w:sz w:val="20"/>
        </w:rPr>
      </w:pPr>
    </w:p>
    <w:p>
      <w:pPr>
        <w:pStyle w:val="BodyText"/>
        <w:rPr>
          <w:sz w:val="20"/>
        </w:rPr>
      </w:pPr>
    </w:p>
    <w:p>
      <w:pPr>
        <w:pStyle w:val="BodyText"/>
        <w:spacing w:before="1"/>
        <w:rPr>
          <w:sz w:val="20"/>
        </w:rPr>
      </w:pPr>
      <w:r>
        <w:rPr/>
        <w:pict>
          <v:group style="position:absolute;margin-left:281.25pt;margin-top:13.525611pt;width:49.35pt;height:49.35pt;mso-position-horizontal-relative:page;mso-position-vertical-relative:paragraph;z-index:-251646976;mso-wrap-distance-left:0;mso-wrap-distance-right:0" coordorigin="5625,271" coordsize="987,987">
            <v:shape style="position:absolute;left:5625;top:270;width:987;height:987" coordorigin="5625,271" coordsize="987,987" path="m6119,271l6046,276,5976,291,5911,316,5850,350,5795,392,5746,440,5705,495,5671,556,5646,621,5630,691,5625,764,5630,837,5646,907,5671,972,5705,1033,5746,1088,5795,1136,5850,1178,5911,1212,5976,1237,6046,1252,6119,1258,6191,1252,6261,1237,6327,1212,6387,1178,6442,1136,6491,1088,6532,1033,6566,972,6591,907,6607,837,6612,764,6607,691,6591,621,6566,556,6532,495,6491,440,6442,392,6387,350,6327,316,6261,291,6191,276,6119,271xe" filled="true" fillcolor="#375f92" stroked="false">
              <v:path arrowok="t"/>
              <v:fill type="solid"/>
            </v:shape>
            <v:shape style="position:absolute;left:5769;top:487;width:699;height:555" type="#_x0000_t75" stroked="false">
              <v:imagedata r:id="rId10" o:title=""/>
            </v:shape>
            <v:shape style="position:absolute;left:5625;top:270;width:987;height:987" type="#_x0000_t202" filled="false" stroked="false">
              <v:textbox inset="0,0,0,0">
                <w:txbxContent>
                  <w:p>
                    <w:pPr>
                      <w:spacing w:before="315"/>
                      <w:ind w:left="0" w:right="0" w:firstLine="0"/>
                      <w:jc w:val="center"/>
                      <w:rPr>
                        <w:rFonts w:ascii="Arial"/>
                        <w:b/>
                        <w:sz w:val="32"/>
                      </w:rPr>
                    </w:pPr>
                    <w:r>
                      <w:rPr>
                        <w:rFonts w:ascii="Arial"/>
                        <w:b/>
                        <w:color w:val="FFFFFF"/>
                        <w:w w:val="99"/>
                        <w:sz w:val="32"/>
                      </w:rPr>
                      <w:t>5</w:t>
                    </w:r>
                  </w:p>
                </w:txbxContent>
              </v:textbox>
              <w10:wrap type="none"/>
            </v:shape>
            <w10:wrap type="topAndBottom"/>
          </v:group>
        </w:pict>
      </w:r>
    </w:p>
    <w:p>
      <w:pPr>
        <w:spacing w:after="0"/>
        <w:rPr>
          <w:sz w:val="20"/>
        </w:rPr>
        <w:sectPr>
          <w:pgSz w:w="12240" w:h="15840"/>
          <w:pgMar w:top="1360" w:bottom="0" w:left="1220" w:right="1220"/>
        </w:sectPr>
      </w:pPr>
    </w:p>
    <w:p>
      <w:pPr>
        <w:pStyle w:val="BodyText"/>
        <w:spacing w:line="360" w:lineRule="auto" w:before="74"/>
        <w:ind w:left="220" w:right="217"/>
        <w:jc w:val="both"/>
      </w:pPr>
      <w:r>
        <w:rPr/>
        <w:pict>
          <v:group style="position:absolute;margin-left:24pt;margin-top:24pt;width:564.15pt;height:768.15pt;mso-position-horizontal-relative:page;mso-position-vertical-relative:page;z-index:-253587456"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t>The calculation of current ratios for three different financial years of Sports direct can be showed below.</w:t>
      </w:r>
    </w:p>
    <w:p>
      <w:pPr>
        <w:pStyle w:val="BodyText"/>
        <w:spacing w:before="10"/>
        <w:rPr>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32"/>
        <w:gridCol w:w="2125"/>
        <w:gridCol w:w="2125"/>
        <w:gridCol w:w="1998"/>
      </w:tblGrid>
      <w:tr>
        <w:trPr>
          <w:trHeight w:val="414" w:hRule="atLeast"/>
        </w:trPr>
        <w:tc>
          <w:tcPr>
            <w:tcW w:w="9580" w:type="dxa"/>
            <w:gridSpan w:val="4"/>
          </w:tcPr>
          <w:p>
            <w:pPr>
              <w:pStyle w:val="TableParagraph"/>
              <w:spacing w:line="275" w:lineRule="exact"/>
              <w:rPr>
                <w:b/>
                <w:sz w:val="24"/>
              </w:rPr>
            </w:pPr>
            <w:r>
              <w:rPr>
                <w:b/>
                <w:sz w:val="24"/>
              </w:rPr>
              <w:t>Current Ratio = Current Assets / Current Liabilities</w:t>
            </w:r>
          </w:p>
        </w:tc>
      </w:tr>
      <w:tr>
        <w:trPr>
          <w:trHeight w:val="414" w:hRule="atLeast"/>
        </w:trPr>
        <w:tc>
          <w:tcPr>
            <w:tcW w:w="3332" w:type="dxa"/>
          </w:tcPr>
          <w:p>
            <w:pPr>
              <w:pStyle w:val="TableParagraph"/>
              <w:spacing w:line="275" w:lineRule="exact"/>
              <w:rPr>
                <w:b/>
                <w:sz w:val="24"/>
              </w:rPr>
            </w:pPr>
            <w:r>
              <w:rPr>
                <w:b/>
                <w:sz w:val="24"/>
              </w:rPr>
              <w:t>Name of the Company</w:t>
            </w:r>
          </w:p>
        </w:tc>
        <w:tc>
          <w:tcPr>
            <w:tcW w:w="2125" w:type="dxa"/>
          </w:tcPr>
          <w:p>
            <w:pPr>
              <w:pStyle w:val="TableParagraph"/>
              <w:spacing w:line="275" w:lineRule="exact"/>
              <w:rPr>
                <w:b/>
                <w:sz w:val="24"/>
              </w:rPr>
            </w:pPr>
            <w:r>
              <w:rPr>
                <w:b/>
                <w:sz w:val="24"/>
              </w:rPr>
              <w:t>2011</w:t>
            </w:r>
          </w:p>
        </w:tc>
        <w:tc>
          <w:tcPr>
            <w:tcW w:w="2125" w:type="dxa"/>
          </w:tcPr>
          <w:p>
            <w:pPr>
              <w:pStyle w:val="TableParagraph"/>
              <w:spacing w:line="275" w:lineRule="exact"/>
              <w:ind w:left="106"/>
              <w:rPr>
                <w:b/>
                <w:sz w:val="24"/>
              </w:rPr>
            </w:pPr>
            <w:r>
              <w:rPr>
                <w:b/>
                <w:sz w:val="24"/>
              </w:rPr>
              <w:t>2012</w:t>
            </w:r>
          </w:p>
        </w:tc>
        <w:tc>
          <w:tcPr>
            <w:tcW w:w="1998" w:type="dxa"/>
          </w:tcPr>
          <w:p>
            <w:pPr>
              <w:pStyle w:val="TableParagraph"/>
              <w:spacing w:line="275" w:lineRule="exact"/>
              <w:ind w:left="106"/>
              <w:rPr>
                <w:b/>
                <w:sz w:val="24"/>
              </w:rPr>
            </w:pPr>
            <w:r>
              <w:rPr>
                <w:b/>
                <w:sz w:val="24"/>
              </w:rPr>
              <w:t>2013</w:t>
            </w:r>
          </w:p>
        </w:tc>
      </w:tr>
      <w:tr>
        <w:trPr>
          <w:trHeight w:val="827" w:hRule="atLeast"/>
        </w:trPr>
        <w:tc>
          <w:tcPr>
            <w:tcW w:w="3332" w:type="dxa"/>
          </w:tcPr>
          <w:p>
            <w:pPr>
              <w:pStyle w:val="TableParagraph"/>
              <w:spacing w:before="200"/>
              <w:rPr>
                <w:sz w:val="24"/>
              </w:rPr>
            </w:pPr>
            <w:r>
              <w:rPr>
                <w:sz w:val="24"/>
              </w:rPr>
              <w:t>Sports Direct Plc</w:t>
            </w:r>
          </w:p>
        </w:tc>
        <w:tc>
          <w:tcPr>
            <w:tcW w:w="2125" w:type="dxa"/>
          </w:tcPr>
          <w:p>
            <w:pPr>
              <w:pStyle w:val="TableParagraph"/>
              <w:spacing w:line="270" w:lineRule="exact"/>
              <w:rPr>
                <w:sz w:val="24"/>
              </w:rPr>
            </w:pPr>
            <w:r>
              <w:rPr>
                <w:sz w:val="24"/>
              </w:rPr>
              <w:t>370/286</w:t>
            </w:r>
          </w:p>
          <w:p>
            <w:pPr>
              <w:pStyle w:val="TableParagraph"/>
              <w:spacing w:before="137"/>
              <w:rPr>
                <w:sz w:val="24"/>
              </w:rPr>
            </w:pPr>
            <w:r>
              <w:rPr>
                <w:sz w:val="24"/>
              </w:rPr>
              <w:t>0.65</w:t>
            </w:r>
          </w:p>
        </w:tc>
        <w:tc>
          <w:tcPr>
            <w:tcW w:w="2125" w:type="dxa"/>
          </w:tcPr>
          <w:p>
            <w:pPr>
              <w:pStyle w:val="TableParagraph"/>
              <w:spacing w:line="270" w:lineRule="exact"/>
              <w:ind w:left="106"/>
              <w:rPr>
                <w:sz w:val="24"/>
              </w:rPr>
            </w:pPr>
            <w:r>
              <w:rPr>
                <w:sz w:val="24"/>
              </w:rPr>
              <w:t>485/338</w:t>
            </w:r>
          </w:p>
          <w:p>
            <w:pPr>
              <w:pStyle w:val="TableParagraph"/>
              <w:spacing w:before="137"/>
              <w:ind w:left="106"/>
              <w:rPr>
                <w:sz w:val="24"/>
              </w:rPr>
            </w:pPr>
            <w:r>
              <w:rPr>
                <w:sz w:val="24"/>
              </w:rPr>
              <w:t>1.43</w:t>
            </w:r>
          </w:p>
        </w:tc>
        <w:tc>
          <w:tcPr>
            <w:tcW w:w="1998" w:type="dxa"/>
          </w:tcPr>
          <w:p>
            <w:pPr>
              <w:pStyle w:val="TableParagraph"/>
              <w:spacing w:line="270" w:lineRule="exact"/>
              <w:ind w:left="106"/>
              <w:rPr>
                <w:sz w:val="24"/>
              </w:rPr>
            </w:pPr>
            <w:r>
              <w:rPr>
                <w:sz w:val="24"/>
              </w:rPr>
              <w:t>708/432</w:t>
            </w:r>
          </w:p>
          <w:p>
            <w:pPr>
              <w:pStyle w:val="TableParagraph"/>
              <w:spacing w:before="137"/>
              <w:ind w:left="106"/>
              <w:rPr>
                <w:sz w:val="24"/>
              </w:rPr>
            </w:pPr>
            <w:r>
              <w:rPr>
                <w:sz w:val="24"/>
              </w:rPr>
              <w:t>1.64</w:t>
            </w:r>
          </w:p>
        </w:tc>
      </w:tr>
    </w:tbl>
    <w:p>
      <w:pPr>
        <w:pStyle w:val="BodyText"/>
        <w:rPr>
          <w:sz w:val="26"/>
        </w:rPr>
      </w:pPr>
    </w:p>
    <w:p>
      <w:pPr>
        <w:pStyle w:val="BodyText"/>
        <w:spacing w:before="4"/>
        <w:rPr>
          <w:sz w:val="37"/>
        </w:rPr>
      </w:pPr>
    </w:p>
    <w:p>
      <w:pPr>
        <w:pStyle w:val="BodyText"/>
        <w:spacing w:line="360" w:lineRule="auto" w:before="1"/>
        <w:ind w:left="220" w:right="217"/>
        <w:jc w:val="both"/>
      </w:pPr>
      <w:bookmarkStart w:name="_bookmark5" w:id="8"/>
      <w:bookmarkEnd w:id="8"/>
      <w:r>
        <w:rPr/>
      </w:r>
      <w:r>
        <w:rPr>
          <w:b/>
        </w:rPr>
        <w:t>Quick Ratio</w:t>
      </w:r>
      <w:r>
        <w:rPr/>
        <w:t>–this ratio is a conservative alternative as inventory is removed from current assets. The reason behind this, the inventory is considered that it can be converted into cash very enthusiastically (McMillan, 2010). Giving an example, the company may allow discounts to the customers to finish their inventories fast and generate cash from the activity. So the changing value of the inventories can be often found as it could be lower in amount that the recorded value in the financial statements.</w:t>
      </w:r>
    </w:p>
    <w:p>
      <w:pPr>
        <w:pStyle w:val="BodyText"/>
        <w:spacing w:before="199"/>
        <w:ind w:left="220"/>
        <w:jc w:val="both"/>
      </w:pPr>
      <w:r>
        <w:rPr/>
        <w:t>The calculation can be shown below:</w:t>
      </w:r>
    </w:p>
    <w:p>
      <w:pPr>
        <w:pStyle w:val="BodyText"/>
        <w:spacing w:before="10" w:after="1"/>
        <w:rPr>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3"/>
        <w:gridCol w:w="1961"/>
        <w:gridCol w:w="1961"/>
        <w:gridCol w:w="1812"/>
      </w:tblGrid>
      <w:tr>
        <w:trPr>
          <w:trHeight w:val="412" w:hRule="atLeast"/>
        </w:trPr>
        <w:tc>
          <w:tcPr>
            <w:tcW w:w="9577" w:type="dxa"/>
            <w:gridSpan w:val="4"/>
          </w:tcPr>
          <w:p>
            <w:pPr>
              <w:pStyle w:val="TableParagraph"/>
              <w:spacing w:line="275" w:lineRule="exact"/>
              <w:rPr>
                <w:b/>
                <w:sz w:val="24"/>
              </w:rPr>
            </w:pPr>
            <w:r>
              <w:rPr>
                <w:b/>
                <w:sz w:val="24"/>
              </w:rPr>
              <w:t>Current Ratio = (Current Assets - Inventories) / Current Liabilities</w:t>
            </w:r>
          </w:p>
        </w:tc>
      </w:tr>
      <w:tr>
        <w:trPr>
          <w:trHeight w:val="414" w:hRule="atLeast"/>
        </w:trPr>
        <w:tc>
          <w:tcPr>
            <w:tcW w:w="3843" w:type="dxa"/>
          </w:tcPr>
          <w:p>
            <w:pPr>
              <w:pStyle w:val="TableParagraph"/>
              <w:spacing w:before="1"/>
              <w:rPr>
                <w:b/>
                <w:sz w:val="24"/>
              </w:rPr>
            </w:pPr>
            <w:r>
              <w:rPr>
                <w:b/>
                <w:sz w:val="24"/>
              </w:rPr>
              <w:t>Name of the Company</w:t>
            </w:r>
          </w:p>
        </w:tc>
        <w:tc>
          <w:tcPr>
            <w:tcW w:w="1961" w:type="dxa"/>
          </w:tcPr>
          <w:p>
            <w:pPr>
              <w:pStyle w:val="TableParagraph"/>
              <w:spacing w:before="1"/>
              <w:rPr>
                <w:b/>
                <w:sz w:val="24"/>
              </w:rPr>
            </w:pPr>
            <w:r>
              <w:rPr>
                <w:b/>
                <w:sz w:val="24"/>
              </w:rPr>
              <w:t>2011</w:t>
            </w:r>
          </w:p>
        </w:tc>
        <w:tc>
          <w:tcPr>
            <w:tcW w:w="1961" w:type="dxa"/>
          </w:tcPr>
          <w:p>
            <w:pPr>
              <w:pStyle w:val="TableParagraph"/>
              <w:spacing w:before="1"/>
              <w:rPr>
                <w:b/>
                <w:sz w:val="24"/>
              </w:rPr>
            </w:pPr>
            <w:r>
              <w:rPr>
                <w:b/>
                <w:sz w:val="24"/>
              </w:rPr>
              <w:t>2012</w:t>
            </w:r>
          </w:p>
        </w:tc>
        <w:tc>
          <w:tcPr>
            <w:tcW w:w="1812" w:type="dxa"/>
          </w:tcPr>
          <w:p>
            <w:pPr>
              <w:pStyle w:val="TableParagraph"/>
              <w:spacing w:before="1"/>
              <w:ind w:left="108"/>
              <w:rPr>
                <w:b/>
                <w:sz w:val="24"/>
              </w:rPr>
            </w:pPr>
            <w:r>
              <w:rPr>
                <w:b/>
                <w:sz w:val="24"/>
              </w:rPr>
              <w:t>2013</w:t>
            </w:r>
          </w:p>
        </w:tc>
      </w:tr>
      <w:tr>
        <w:trPr>
          <w:trHeight w:val="1242" w:hRule="atLeast"/>
        </w:trPr>
        <w:tc>
          <w:tcPr>
            <w:tcW w:w="3843" w:type="dxa"/>
          </w:tcPr>
          <w:p>
            <w:pPr>
              <w:pStyle w:val="TableParagraph"/>
              <w:spacing w:before="6"/>
              <w:ind w:left="0"/>
              <w:rPr>
                <w:sz w:val="35"/>
              </w:rPr>
            </w:pPr>
          </w:p>
          <w:p>
            <w:pPr>
              <w:pStyle w:val="TableParagraph"/>
              <w:spacing w:before="1"/>
              <w:rPr>
                <w:sz w:val="24"/>
              </w:rPr>
            </w:pPr>
            <w:r>
              <w:rPr>
                <w:sz w:val="24"/>
              </w:rPr>
              <w:t>Sports Direct Plc</w:t>
            </w:r>
          </w:p>
        </w:tc>
        <w:tc>
          <w:tcPr>
            <w:tcW w:w="1961" w:type="dxa"/>
          </w:tcPr>
          <w:p>
            <w:pPr>
              <w:pStyle w:val="TableParagraph"/>
              <w:spacing w:before="203"/>
              <w:rPr>
                <w:sz w:val="24"/>
              </w:rPr>
            </w:pPr>
            <w:r>
              <w:rPr>
                <w:sz w:val="24"/>
              </w:rPr>
              <w:t>(370 – 218) /286</w:t>
            </w:r>
          </w:p>
          <w:p>
            <w:pPr>
              <w:pStyle w:val="TableParagraph"/>
              <w:spacing w:before="136"/>
              <w:rPr>
                <w:sz w:val="24"/>
              </w:rPr>
            </w:pPr>
            <w:r>
              <w:rPr>
                <w:sz w:val="24"/>
              </w:rPr>
              <w:t>0.53</w:t>
            </w:r>
          </w:p>
        </w:tc>
        <w:tc>
          <w:tcPr>
            <w:tcW w:w="1961" w:type="dxa"/>
          </w:tcPr>
          <w:p>
            <w:pPr>
              <w:pStyle w:val="TableParagraph"/>
              <w:spacing w:before="203"/>
              <w:rPr>
                <w:sz w:val="24"/>
              </w:rPr>
            </w:pPr>
            <w:r>
              <w:rPr>
                <w:sz w:val="24"/>
              </w:rPr>
              <w:t>(485 – 317) /338</w:t>
            </w:r>
          </w:p>
          <w:p>
            <w:pPr>
              <w:pStyle w:val="TableParagraph"/>
              <w:spacing w:before="136"/>
              <w:rPr>
                <w:sz w:val="24"/>
              </w:rPr>
            </w:pPr>
            <w:r>
              <w:rPr>
                <w:sz w:val="24"/>
              </w:rPr>
              <w:t>0.50</w:t>
            </w:r>
          </w:p>
        </w:tc>
        <w:tc>
          <w:tcPr>
            <w:tcW w:w="1812" w:type="dxa"/>
          </w:tcPr>
          <w:p>
            <w:pPr>
              <w:pStyle w:val="TableParagraph"/>
              <w:tabs>
                <w:tab w:pos="845" w:val="left" w:leader="none"/>
                <w:tab w:pos="1262" w:val="left" w:leader="none"/>
              </w:tabs>
              <w:spacing w:line="270" w:lineRule="exact"/>
              <w:ind w:left="108"/>
              <w:rPr>
                <w:sz w:val="24"/>
              </w:rPr>
            </w:pPr>
            <w:r>
              <w:rPr>
                <w:sz w:val="24"/>
              </w:rPr>
              <w:t>(708</w:t>
              <w:tab/>
              <w:t>–</w:t>
              <w:tab/>
              <w:t>447)</w:t>
            </w:r>
          </w:p>
          <w:p>
            <w:pPr>
              <w:pStyle w:val="TableParagraph"/>
              <w:spacing w:line="410" w:lineRule="atLeast" w:before="5"/>
              <w:ind w:left="108" w:right="1247"/>
              <w:rPr>
                <w:sz w:val="24"/>
              </w:rPr>
            </w:pPr>
            <w:r>
              <w:rPr>
                <w:sz w:val="24"/>
              </w:rPr>
              <w:t>/432 0.60</w:t>
            </w:r>
          </w:p>
        </w:tc>
      </w:tr>
    </w:tbl>
    <w:p>
      <w:pPr>
        <w:pStyle w:val="BodyText"/>
        <w:spacing w:line="360" w:lineRule="auto" w:before="114"/>
        <w:ind w:left="220" w:right="216"/>
        <w:jc w:val="both"/>
      </w:pPr>
      <w:r>
        <w:rPr/>
        <w:t>Considering the benchmark the ratios from three years are low. This could be the reason as the trade receivables are lower than the trade payables in order to run the business efficiently (Lewis, 2009). The business has a high level of turnover and from that it can generate cash easily and can be utilized for repayment of debts. On the other hand, the investors or the shareholders will not face a concern about the lower ratios for this kind of multinational business as they will expect a higher value from the other small businesses (Sanzo, 2000).</w:t>
      </w:r>
    </w:p>
    <w:p>
      <w:pPr>
        <w:pStyle w:val="BodyText"/>
        <w:spacing w:line="360" w:lineRule="auto" w:before="200"/>
        <w:ind w:left="220" w:right="217"/>
        <w:jc w:val="both"/>
      </w:pPr>
      <w:r>
        <w:rPr/>
        <w:t>So considering the aspect it can be said that Sports Direct has an impressive amount of receivables and it is due to the greater focus of the company to the non-sporting items (Plummer,</w:t>
      </w:r>
    </w:p>
    <w:p>
      <w:pPr>
        <w:pStyle w:val="BodyText"/>
        <w:rPr>
          <w:sz w:val="20"/>
        </w:rPr>
      </w:pPr>
    </w:p>
    <w:p>
      <w:pPr>
        <w:pStyle w:val="BodyText"/>
        <w:spacing w:before="9"/>
        <w:rPr>
          <w:sz w:val="23"/>
        </w:rPr>
      </w:pPr>
      <w:r>
        <w:rPr/>
        <w:pict>
          <v:group style="position:absolute;margin-left:281.25pt;margin-top:15.664039pt;width:49.35pt;height:49.35pt;mso-position-horizontal-relative:page;mso-position-vertical-relative:paragraph;z-index:-251643904;mso-wrap-distance-left:0;mso-wrap-distance-right:0" coordorigin="5625,313" coordsize="987,987">
            <v:shape style="position:absolute;left:5625;top:313;width:987;height:987" coordorigin="5625,313" coordsize="987,987" path="m6119,313l6046,319,5976,334,5911,359,5850,393,5795,434,5746,483,5705,538,5671,599,5646,664,5630,734,5625,807,5630,880,5646,949,5671,1015,5705,1075,5746,1131,5795,1179,5850,1221,5911,1254,5976,1279,6046,1295,6119,1300,6191,1295,6261,1279,6327,1254,6387,1221,6442,1179,6491,1131,6532,1075,6566,1015,6591,949,6607,880,6612,807,6607,734,6591,664,6566,599,6532,538,6491,483,6442,434,6387,393,6327,359,6261,334,6191,319,6119,313xe" filled="true" fillcolor="#375f92" stroked="false">
              <v:path arrowok="t"/>
              <v:fill type="solid"/>
            </v:shape>
            <v:shape style="position:absolute;left:5769;top:530;width:699;height:555" type="#_x0000_t75" stroked="false">
              <v:imagedata r:id="rId10" o:title=""/>
            </v:shape>
            <v:shape style="position:absolute;left:5625;top:313;width:987;height:987" type="#_x0000_t202" filled="false" stroked="false">
              <v:textbox inset="0,0,0,0">
                <w:txbxContent>
                  <w:p>
                    <w:pPr>
                      <w:spacing w:before="315"/>
                      <w:ind w:left="0" w:right="0" w:firstLine="0"/>
                      <w:jc w:val="center"/>
                      <w:rPr>
                        <w:rFonts w:ascii="Arial"/>
                        <w:b/>
                        <w:sz w:val="32"/>
                      </w:rPr>
                    </w:pPr>
                    <w:r>
                      <w:rPr>
                        <w:rFonts w:ascii="Arial"/>
                        <w:b/>
                        <w:color w:val="FFFFFF"/>
                        <w:w w:val="99"/>
                        <w:sz w:val="32"/>
                      </w:rPr>
                      <w:t>6</w:t>
                    </w:r>
                  </w:p>
                </w:txbxContent>
              </v:textbox>
              <w10:wrap type="none"/>
            </v:shape>
            <w10:wrap type="topAndBottom"/>
          </v:group>
        </w:pict>
      </w:r>
    </w:p>
    <w:p>
      <w:pPr>
        <w:spacing w:after="0"/>
        <w:rPr>
          <w:sz w:val="23"/>
        </w:rPr>
        <w:sectPr>
          <w:pgSz w:w="12240" w:h="15840"/>
          <w:pgMar w:top="1360" w:bottom="0" w:left="1220" w:right="1220"/>
        </w:sectPr>
      </w:pPr>
    </w:p>
    <w:p>
      <w:pPr>
        <w:pStyle w:val="BodyText"/>
        <w:spacing w:line="360" w:lineRule="auto" w:before="74"/>
        <w:ind w:left="220" w:right="218"/>
        <w:jc w:val="both"/>
      </w:pPr>
      <w:r>
        <w:rPr/>
        <w:pict>
          <v:group style="position:absolute;margin-left:24pt;margin-top:24pt;width:564.15pt;height:768.15pt;mso-position-horizontal-relative:page;mso-position-vertical-relative:page;z-index:-253584384"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t>2010). Also the drawback of the higher receivables can be observed as it may be risky for the company due to the inability of some of the customers regarding the payment of debts.</w:t>
      </w:r>
    </w:p>
    <w:p>
      <w:pPr>
        <w:pStyle w:val="Heading1"/>
        <w:spacing w:before="205"/>
        <w:jc w:val="both"/>
      </w:pPr>
      <w:r>
        <w:rPr/>
        <w:t>Capital Structure Ratio</w:t>
      </w:r>
    </w:p>
    <w:p>
      <w:pPr>
        <w:pStyle w:val="BodyText"/>
        <w:spacing w:before="5"/>
        <w:rPr>
          <w:b/>
          <w:sz w:val="29"/>
        </w:rPr>
      </w:pPr>
    </w:p>
    <w:tbl>
      <w:tblPr>
        <w:tblW w:w="0" w:type="auto"/>
        <w:jc w:val="left"/>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2"/>
        <w:gridCol w:w="960"/>
        <w:gridCol w:w="960"/>
        <w:gridCol w:w="960"/>
      </w:tblGrid>
      <w:tr>
        <w:trPr>
          <w:trHeight w:val="299" w:hRule="atLeast"/>
        </w:trPr>
        <w:tc>
          <w:tcPr>
            <w:tcW w:w="2842" w:type="dxa"/>
          </w:tcPr>
          <w:p>
            <w:pPr>
              <w:pStyle w:val="TableParagraph"/>
              <w:spacing w:line="264" w:lineRule="exact" w:before="15"/>
              <w:rPr>
                <w:sz w:val="24"/>
              </w:rPr>
            </w:pPr>
            <w:r>
              <w:rPr>
                <w:sz w:val="24"/>
              </w:rPr>
              <w:t>Years</w:t>
            </w:r>
          </w:p>
        </w:tc>
        <w:tc>
          <w:tcPr>
            <w:tcW w:w="960" w:type="dxa"/>
          </w:tcPr>
          <w:p>
            <w:pPr>
              <w:pStyle w:val="TableParagraph"/>
              <w:spacing w:line="264" w:lineRule="exact" w:before="15"/>
              <w:ind w:left="0" w:right="96"/>
              <w:jc w:val="right"/>
              <w:rPr>
                <w:sz w:val="24"/>
              </w:rPr>
            </w:pPr>
            <w:r>
              <w:rPr>
                <w:sz w:val="24"/>
              </w:rPr>
              <w:t>2011</w:t>
            </w:r>
          </w:p>
        </w:tc>
        <w:tc>
          <w:tcPr>
            <w:tcW w:w="960" w:type="dxa"/>
          </w:tcPr>
          <w:p>
            <w:pPr>
              <w:pStyle w:val="TableParagraph"/>
              <w:spacing w:line="264" w:lineRule="exact" w:before="15"/>
              <w:ind w:left="0" w:right="96"/>
              <w:jc w:val="right"/>
              <w:rPr>
                <w:sz w:val="24"/>
              </w:rPr>
            </w:pPr>
            <w:r>
              <w:rPr>
                <w:sz w:val="24"/>
              </w:rPr>
              <w:t>2012</w:t>
            </w:r>
          </w:p>
        </w:tc>
        <w:tc>
          <w:tcPr>
            <w:tcW w:w="960" w:type="dxa"/>
          </w:tcPr>
          <w:p>
            <w:pPr>
              <w:pStyle w:val="TableParagraph"/>
              <w:spacing w:line="264" w:lineRule="exact" w:before="15"/>
              <w:ind w:left="0" w:right="95"/>
              <w:jc w:val="right"/>
              <w:rPr>
                <w:sz w:val="24"/>
              </w:rPr>
            </w:pPr>
            <w:r>
              <w:rPr>
                <w:sz w:val="24"/>
              </w:rPr>
              <w:t>2013</w:t>
            </w:r>
          </w:p>
        </w:tc>
      </w:tr>
      <w:tr>
        <w:trPr>
          <w:trHeight w:val="302" w:hRule="atLeast"/>
        </w:trPr>
        <w:tc>
          <w:tcPr>
            <w:tcW w:w="2842" w:type="dxa"/>
          </w:tcPr>
          <w:p>
            <w:pPr>
              <w:pStyle w:val="TableParagraph"/>
              <w:spacing w:line="266" w:lineRule="exact" w:before="15"/>
              <w:rPr>
                <w:sz w:val="24"/>
              </w:rPr>
            </w:pPr>
            <w:r>
              <w:rPr>
                <w:sz w:val="24"/>
              </w:rPr>
              <w:t>Debt/Equity</w:t>
            </w:r>
          </w:p>
        </w:tc>
        <w:tc>
          <w:tcPr>
            <w:tcW w:w="960" w:type="dxa"/>
          </w:tcPr>
          <w:p>
            <w:pPr>
              <w:pStyle w:val="TableParagraph"/>
              <w:spacing w:line="266" w:lineRule="exact" w:before="15"/>
              <w:ind w:left="0" w:right="96"/>
              <w:jc w:val="right"/>
              <w:rPr>
                <w:sz w:val="24"/>
              </w:rPr>
            </w:pPr>
            <w:r>
              <w:rPr>
                <w:sz w:val="24"/>
              </w:rPr>
              <w:t>0.59</w:t>
            </w:r>
          </w:p>
        </w:tc>
        <w:tc>
          <w:tcPr>
            <w:tcW w:w="960" w:type="dxa"/>
          </w:tcPr>
          <w:p>
            <w:pPr>
              <w:pStyle w:val="TableParagraph"/>
              <w:spacing w:line="266" w:lineRule="exact" w:before="15"/>
              <w:ind w:left="0" w:right="96"/>
              <w:jc w:val="right"/>
              <w:rPr>
                <w:sz w:val="24"/>
              </w:rPr>
            </w:pPr>
            <w:r>
              <w:rPr>
                <w:sz w:val="24"/>
              </w:rPr>
              <w:t>0.45</w:t>
            </w:r>
          </w:p>
        </w:tc>
        <w:tc>
          <w:tcPr>
            <w:tcW w:w="960" w:type="dxa"/>
          </w:tcPr>
          <w:p>
            <w:pPr>
              <w:pStyle w:val="TableParagraph"/>
              <w:spacing w:line="266" w:lineRule="exact" w:before="15"/>
              <w:ind w:left="0" w:right="95"/>
              <w:jc w:val="right"/>
              <w:rPr>
                <w:sz w:val="24"/>
              </w:rPr>
            </w:pPr>
            <w:r>
              <w:rPr>
                <w:sz w:val="24"/>
              </w:rPr>
              <w:t>0.38</w:t>
            </w:r>
          </w:p>
        </w:tc>
      </w:tr>
    </w:tbl>
    <w:p>
      <w:pPr>
        <w:pStyle w:val="BodyText"/>
        <w:rPr>
          <w:b/>
          <w:sz w:val="26"/>
        </w:rPr>
      </w:pPr>
    </w:p>
    <w:p>
      <w:pPr>
        <w:pStyle w:val="BodyText"/>
        <w:spacing w:before="6"/>
        <w:rPr>
          <w:b/>
          <w:sz w:val="37"/>
        </w:rPr>
      </w:pPr>
    </w:p>
    <w:p>
      <w:pPr>
        <w:pStyle w:val="Heading1"/>
        <w:spacing w:before="0"/>
        <w:jc w:val="both"/>
      </w:pPr>
      <w:bookmarkStart w:name="_bookmark6" w:id="9"/>
      <w:bookmarkEnd w:id="9"/>
      <w:r>
        <w:rPr>
          <w:b w:val="0"/>
        </w:rPr>
      </w:r>
      <w:r>
        <w:rPr>
          <w:color w:val="4F81BC"/>
        </w:rPr>
        <w:t>Profitability Ratios</w:t>
      </w:r>
    </w:p>
    <w:p>
      <w:pPr>
        <w:pStyle w:val="BodyText"/>
        <w:spacing w:before="2"/>
        <w:rPr>
          <w:b/>
          <w:sz w:val="22"/>
        </w:rPr>
      </w:pPr>
    </w:p>
    <w:p>
      <w:pPr>
        <w:pStyle w:val="BodyText"/>
        <w:spacing w:line="360" w:lineRule="auto"/>
        <w:ind w:left="220" w:right="214"/>
        <w:jc w:val="both"/>
      </w:pPr>
      <w:r>
        <w:rPr/>
        <w:t>The purpose of these ratios is to measure the profitability of the firms where the profits earned by the company are supported to make the payments to the capital expenditures, dividends (Yang &amp; Ma, 2013). So these ratios are too much important to make the analysis.</w:t>
      </w:r>
    </w:p>
    <w:p>
      <w:pPr>
        <w:pStyle w:val="BodyText"/>
        <w:spacing w:line="360" w:lineRule="auto" w:before="201"/>
        <w:ind w:left="220" w:right="217"/>
        <w:jc w:val="both"/>
      </w:pPr>
      <w:bookmarkStart w:name="_bookmark7" w:id="10"/>
      <w:bookmarkEnd w:id="10"/>
      <w:r>
        <w:rPr/>
      </w:r>
      <w:r>
        <w:rPr>
          <w:b/>
        </w:rPr>
        <w:t>Earnings per Share (EPS)</w:t>
      </w:r>
      <w:r>
        <w:rPr/>
        <w:t>–this ratio is important for the shareholders as they calculate the earnings available in respect of each share held in the company. They can able to determine the available earning from them if they own shares in the company. The comparison can be made with the dividends to determine about the payout ratio. </w:t>
      </w:r>
      <w:r>
        <w:rPr>
          <w:spacing w:val="-3"/>
        </w:rPr>
        <w:t>It </w:t>
      </w:r>
      <w:r>
        <w:rPr/>
        <w:t>is quite important for the shareholders to gather knowledge that the company is using its incomes to sort off the capital expenditures or paying dividends (Weygandt, 2009). If they found that the dividends are low then they expect higher capital expenditure which can maximize the future value of the business along with it increases the share prices and capital</w:t>
      </w:r>
      <w:r>
        <w:rPr>
          <w:spacing w:val="-1"/>
        </w:rPr>
        <w:t> </w:t>
      </w:r>
      <w:r>
        <w:rPr/>
        <w:t>gains.</w:t>
      </w:r>
    </w:p>
    <w:p>
      <w:pPr>
        <w:pStyle w:val="BodyText"/>
        <w:spacing w:line="360" w:lineRule="auto" w:before="200"/>
        <w:ind w:left="220" w:right="216"/>
        <w:jc w:val="both"/>
      </w:pPr>
      <w:bookmarkStart w:name="_bookmark8" w:id="11"/>
      <w:bookmarkEnd w:id="11"/>
      <w:r>
        <w:rPr/>
      </w:r>
      <w:r>
        <w:rPr>
          <w:b/>
        </w:rPr>
        <w:t>Gross Profit Margin and Net Profit Margin </w:t>
      </w:r>
      <w:r>
        <w:rPr/>
        <w:t>– gross profit margin indicates the deduction of cost of goods sold from the revenues. The efficiency of the production level of company is determined via gross profit margin. The company with the higher amount of gross profit margin from its competitors in the market is known to be more efficient and also preferred (Shim, Siegel, Shim &amp; Shim,</w:t>
      </w:r>
      <w:r>
        <w:rPr>
          <w:spacing w:val="-3"/>
        </w:rPr>
        <w:t> </w:t>
      </w:r>
      <w:r>
        <w:rPr/>
        <w:t>2012).</w:t>
      </w:r>
    </w:p>
    <w:p>
      <w:pPr>
        <w:pStyle w:val="BodyText"/>
        <w:spacing w:line="360" w:lineRule="auto" w:before="201"/>
        <w:ind w:left="220" w:right="221"/>
        <w:jc w:val="both"/>
      </w:pPr>
      <w:r>
        <w:rPr/>
        <w:t>On the other side, net profit margin indicates the net income of the company once all the related costs are being deducted. The determination of the factors like rising costs or competition can be done with it.</w:t>
      </w:r>
    </w:p>
    <w:p>
      <w:pPr>
        <w:pStyle w:val="BodyText"/>
        <w:spacing w:before="198"/>
        <w:ind w:left="220"/>
        <w:jc w:val="both"/>
      </w:pPr>
      <w:r>
        <w:rPr/>
        <w:t>The calculation regarding the above three selected ratios can be shown below:</w:t>
      </w:r>
    </w:p>
    <w:p>
      <w:pPr>
        <w:pStyle w:val="BodyText"/>
        <w:rPr>
          <w:sz w:val="20"/>
        </w:rPr>
      </w:pPr>
    </w:p>
    <w:p>
      <w:pPr>
        <w:pStyle w:val="BodyText"/>
        <w:spacing w:before="3"/>
        <w:rPr>
          <w:sz w:val="25"/>
        </w:rPr>
      </w:pPr>
      <w:r>
        <w:rPr/>
        <w:pict>
          <v:group style="position:absolute;margin-left:281.25pt;margin-top:16.504869pt;width:49.35pt;height:49.35pt;mso-position-horizontal-relative:page;mso-position-vertical-relative:paragraph;z-index:-251640832;mso-wrap-distance-left:0;mso-wrap-distance-right:0" coordorigin="5625,330" coordsize="987,987">
            <v:shape style="position:absolute;left:5625;top:330;width:987;height:987" coordorigin="5625,330" coordsize="987,987" path="m6119,330l6046,335,5976,351,5911,376,5850,410,5795,451,5746,500,5705,555,5671,616,5646,681,5630,751,5625,824,5630,897,5646,966,5671,1032,5705,1092,5746,1147,5795,1196,5850,1238,5911,1271,5976,1296,6046,1312,6119,1317,6191,1312,6261,1296,6327,1271,6387,1238,6442,1196,6491,1147,6532,1092,6566,1032,6591,966,6607,897,6612,824,6607,751,6591,681,6566,616,6532,555,6491,500,6442,451,6387,410,6327,376,6261,351,6191,335,6119,330xe" filled="true" fillcolor="#375f92" stroked="false">
              <v:path arrowok="t"/>
              <v:fill type="solid"/>
            </v:shape>
            <v:shape style="position:absolute;left:5769;top:546;width:699;height:555" type="#_x0000_t75" stroked="false">
              <v:imagedata r:id="rId10" o:title=""/>
            </v:shape>
            <v:shape style="position:absolute;left:5625;top:330;width:987;height:987" type="#_x0000_t202" filled="false" stroked="false">
              <v:textbox inset="0,0,0,0">
                <w:txbxContent>
                  <w:p>
                    <w:pPr>
                      <w:spacing w:before="315"/>
                      <w:ind w:left="0" w:right="0" w:firstLine="0"/>
                      <w:jc w:val="center"/>
                      <w:rPr>
                        <w:rFonts w:ascii="Arial"/>
                        <w:b/>
                        <w:sz w:val="32"/>
                      </w:rPr>
                    </w:pPr>
                    <w:r>
                      <w:rPr>
                        <w:rFonts w:ascii="Arial"/>
                        <w:b/>
                        <w:color w:val="FFFFFF"/>
                        <w:w w:val="99"/>
                        <w:sz w:val="32"/>
                      </w:rPr>
                      <w:t>7</w:t>
                    </w:r>
                  </w:p>
                </w:txbxContent>
              </v:textbox>
              <w10:wrap type="none"/>
            </v:shape>
            <w10:wrap type="topAndBottom"/>
          </v:group>
        </w:pict>
      </w:r>
    </w:p>
    <w:p>
      <w:pPr>
        <w:spacing w:after="0"/>
        <w:rPr>
          <w:sz w:val="25"/>
        </w:rPr>
        <w:sectPr>
          <w:pgSz w:w="12240" w:h="15840"/>
          <w:pgMar w:top="1360" w:bottom="0" w:left="1220" w:right="122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3"/>
        <w:gridCol w:w="291"/>
        <w:gridCol w:w="394"/>
        <w:gridCol w:w="2182"/>
        <w:gridCol w:w="354"/>
        <w:gridCol w:w="428"/>
        <w:gridCol w:w="206"/>
        <w:gridCol w:w="1193"/>
        <w:gridCol w:w="539"/>
        <w:gridCol w:w="287"/>
        <w:gridCol w:w="1332"/>
      </w:tblGrid>
      <w:tr>
        <w:trPr>
          <w:trHeight w:val="827" w:hRule="atLeast"/>
        </w:trPr>
        <w:tc>
          <w:tcPr>
            <w:tcW w:w="2373" w:type="dxa"/>
            <w:tcBorders>
              <w:right w:val="nil"/>
            </w:tcBorders>
          </w:tcPr>
          <w:p>
            <w:pPr>
              <w:pStyle w:val="TableParagraph"/>
              <w:spacing w:line="275" w:lineRule="exact"/>
              <w:rPr>
                <w:b/>
                <w:sz w:val="24"/>
              </w:rPr>
            </w:pPr>
            <w:r>
              <w:rPr>
                <w:b/>
                <w:sz w:val="24"/>
              </w:rPr>
              <w:t>Earnings per Share</w:t>
            </w:r>
          </w:p>
          <w:p>
            <w:pPr>
              <w:pStyle w:val="TableParagraph"/>
              <w:spacing w:before="139"/>
              <w:rPr>
                <w:b/>
                <w:sz w:val="24"/>
              </w:rPr>
            </w:pPr>
            <w:r>
              <w:rPr>
                <w:b/>
                <w:sz w:val="24"/>
              </w:rPr>
              <w:t>Outstanding Shares</w:t>
            </w:r>
          </w:p>
        </w:tc>
        <w:tc>
          <w:tcPr>
            <w:tcW w:w="291" w:type="dxa"/>
            <w:tcBorders>
              <w:left w:val="nil"/>
              <w:right w:val="nil"/>
            </w:tcBorders>
          </w:tcPr>
          <w:p>
            <w:pPr>
              <w:pStyle w:val="TableParagraph"/>
              <w:spacing w:line="275" w:lineRule="exact"/>
              <w:ind w:left="82"/>
              <w:rPr>
                <w:b/>
                <w:sz w:val="24"/>
              </w:rPr>
            </w:pPr>
            <w:r>
              <w:rPr>
                <w:b/>
                <w:sz w:val="24"/>
              </w:rPr>
              <w:t>=</w:t>
            </w:r>
          </w:p>
        </w:tc>
        <w:tc>
          <w:tcPr>
            <w:tcW w:w="2930" w:type="dxa"/>
            <w:gridSpan w:val="3"/>
            <w:tcBorders>
              <w:left w:val="nil"/>
              <w:right w:val="nil"/>
            </w:tcBorders>
          </w:tcPr>
          <w:p>
            <w:pPr>
              <w:pStyle w:val="TableParagraph"/>
              <w:spacing w:line="275" w:lineRule="exact"/>
              <w:ind w:left="81"/>
              <w:rPr>
                <w:b/>
                <w:sz w:val="24"/>
              </w:rPr>
            </w:pPr>
            <w:r>
              <w:rPr>
                <w:b/>
                <w:sz w:val="24"/>
              </w:rPr>
              <w:t>(Net Income - Dividends</w:t>
            </w:r>
          </w:p>
        </w:tc>
        <w:tc>
          <w:tcPr>
            <w:tcW w:w="428" w:type="dxa"/>
            <w:tcBorders>
              <w:left w:val="nil"/>
              <w:right w:val="nil"/>
            </w:tcBorders>
          </w:tcPr>
          <w:p>
            <w:pPr>
              <w:pStyle w:val="TableParagraph"/>
              <w:spacing w:line="275" w:lineRule="exact"/>
              <w:ind w:left="81"/>
              <w:rPr>
                <w:b/>
                <w:sz w:val="24"/>
              </w:rPr>
            </w:pPr>
            <w:r>
              <w:rPr>
                <w:b/>
                <w:sz w:val="24"/>
              </w:rPr>
              <w:t>on</w:t>
            </w:r>
          </w:p>
        </w:tc>
        <w:tc>
          <w:tcPr>
            <w:tcW w:w="1938" w:type="dxa"/>
            <w:gridSpan w:val="3"/>
            <w:tcBorders>
              <w:left w:val="nil"/>
              <w:right w:val="nil"/>
            </w:tcBorders>
          </w:tcPr>
          <w:p>
            <w:pPr>
              <w:pStyle w:val="TableParagraph"/>
              <w:spacing w:line="275" w:lineRule="exact"/>
              <w:ind w:left="60"/>
              <w:rPr>
                <w:b/>
                <w:sz w:val="24"/>
              </w:rPr>
            </w:pPr>
            <w:r>
              <w:rPr>
                <w:b/>
                <w:sz w:val="24"/>
              </w:rPr>
              <w:t>Preferred Stock)</w:t>
            </w:r>
          </w:p>
        </w:tc>
        <w:tc>
          <w:tcPr>
            <w:tcW w:w="1619" w:type="dxa"/>
            <w:gridSpan w:val="2"/>
            <w:tcBorders>
              <w:left w:val="nil"/>
            </w:tcBorders>
          </w:tcPr>
          <w:p>
            <w:pPr>
              <w:pStyle w:val="TableParagraph"/>
              <w:spacing w:line="275" w:lineRule="exact"/>
              <w:ind w:left="79"/>
              <w:rPr>
                <w:b/>
                <w:sz w:val="24"/>
              </w:rPr>
            </w:pPr>
            <w:r>
              <w:rPr>
                <w:b/>
                <w:sz w:val="24"/>
              </w:rPr>
              <w:t>/ Number of</w:t>
            </w:r>
          </w:p>
        </w:tc>
      </w:tr>
      <w:tr>
        <w:trPr>
          <w:trHeight w:val="414" w:hRule="atLeast"/>
        </w:trPr>
        <w:tc>
          <w:tcPr>
            <w:tcW w:w="3058" w:type="dxa"/>
            <w:gridSpan w:val="3"/>
          </w:tcPr>
          <w:p>
            <w:pPr>
              <w:pStyle w:val="TableParagraph"/>
              <w:spacing w:line="275" w:lineRule="exact"/>
              <w:rPr>
                <w:b/>
                <w:sz w:val="24"/>
              </w:rPr>
            </w:pPr>
            <w:r>
              <w:rPr>
                <w:b/>
                <w:sz w:val="24"/>
              </w:rPr>
              <w:t>Name of the Company</w:t>
            </w:r>
          </w:p>
        </w:tc>
        <w:tc>
          <w:tcPr>
            <w:tcW w:w="2182" w:type="dxa"/>
          </w:tcPr>
          <w:p>
            <w:pPr>
              <w:pStyle w:val="TableParagraph"/>
              <w:spacing w:line="275" w:lineRule="exact"/>
              <w:rPr>
                <w:b/>
                <w:sz w:val="24"/>
              </w:rPr>
            </w:pPr>
            <w:r>
              <w:rPr>
                <w:b/>
                <w:sz w:val="24"/>
              </w:rPr>
              <w:t>2011</w:t>
            </w:r>
          </w:p>
        </w:tc>
        <w:tc>
          <w:tcPr>
            <w:tcW w:w="2181" w:type="dxa"/>
            <w:gridSpan w:val="4"/>
          </w:tcPr>
          <w:p>
            <w:pPr>
              <w:pStyle w:val="TableParagraph"/>
              <w:spacing w:line="275" w:lineRule="exact"/>
              <w:ind w:left="105"/>
              <w:rPr>
                <w:b/>
                <w:sz w:val="24"/>
              </w:rPr>
            </w:pPr>
            <w:r>
              <w:rPr>
                <w:b/>
                <w:sz w:val="24"/>
              </w:rPr>
              <w:t>2012</w:t>
            </w:r>
          </w:p>
        </w:tc>
        <w:tc>
          <w:tcPr>
            <w:tcW w:w="2158" w:type="dxa"/>
            <w:gridSpan w:val="3"/>
          </w:tcPr>
          <w:p>
            <w:pPr>
              <w:pStyle w:val="TableParagraph"/>
              <w:spacing w:line="275" w:lineRule="exact"/>
              <w:ind w:left="106"/>
              <w:rPr>
                <w:b/>
                <w:sz w:val="24"/>
              </w:rPr>
            </w:pPr>
            <w:r>
              <w:rPr>
                <w:b/>
                <w:sz w:val="24"/>
              </w:rPr>
              <w:t>2013</w:t>
            </w:r>
          </w:p>
        </w:tc>
      </w:tr>
      <w:tr>
        <w:trPr>
          <w:trHeight w:val="827" w:hRule="atLeast"/>
        </w:trPr>
        <w:tc>
          <w:tcPr>
            <w:tcW w:w="3058" w:type="dxa"/>
            <w:gridSpan w:val="3"/>
          </w:tcPr>
          <w:p>
            <w:pPr>
              <w:pStyle w:val="TableParagraph"/>
              <w:spacing w:before="200"/>
              <w:rPr>
                <w:sz w:val="24"/>
              </w:rPr>
            </w:pPr>
            <w:r>
              <w:rPr>
                <w:sz w:val="24"/>
              </w:rPr>
              <w:t>Sports Direct Plc</w:t>
            </w:r>
          </w:p>
        </w:tc>
        <w:tc>
          <w:tcPr>
            <w:tcW w:w="2182" w:type="dxa"/>
          </w:tcPr>
          <w:p>
            <w:pPr>
              <w:pStyle w:val="TableParagraph"/>
              <w:tabs>
                <w:tab w:pos="998" w:val="left" w:leader="none"/>
                <w:tab w:pos="1715" w:val="left" w:leader="none"/>
              </w:tabs>
              <w:spacing w:line="270" w:lineRule="exact"/>
              <w:rPr>
                <w:sz w:val="24"/>
              </w:rPr>
            </w:pPr>
            <w:r>
              <w:rPr>
                <w:sz w:val="24"/>
              </w:rPr>
              <w:t>84</w:t>
              <w:tab/>
              <w:t>/</w:t>
              <w:tab/>
              <w:t>569</w:t>
            </w:r>
          </w:p>
          <w:p>
            <w:pPr>
              <w:pStyle w:val="TableParagraph"/>
              <w:spacing w:before="137"/>
              <w:rPr>
                <w:sz w:val="24"/>
              </w:rPr>
            </w:pPr>
            <w:r>
              <w:rPr>
                <w:sz w:val="24"/>
              </w:rPr>
              <w:t>0.15</w:t>
            </w:r>
          </w:p>
        </w:tc>
        <w:tc>
          <w:tcPr>
            <w:tcW w:w="782" w:type="dxa"/>
            <w:gridSpan w:val="2"/>
            <w:tcBorders>
              <w:right w:val="nil"/>
            </w:tcBorders>
          </w:tcPr>
          <w:p>
            <w:pPr>
              <w:pStyle w:val="TableParagraph"/>
              <w:spacing w:line="270" w:lineRule="exact"/>
              <w:ind w:left="105"/>
              <w:rPr>
                <w:sz w:val="24"/>
              </w:rPr>
            </w:pPr>
            <w:r>
              <w:rPr>
                <w:sz w:val="24"/>
              </w:rPr>
              <w:t>106</w:t>
            </w:r>
          </w:p>
          <w:p>
            <w:pPr>
              <w:pStyle w:val="TableParagraph"/>
              <w:spacing w:before="137"/>
              <w:ind w:left="105"/>
              <w:rPr>
                <w:sz w:val="24"/>
              </w:rPr>
            </w:pPr>
            <w:r>
              <w:rPr>
                <w:sz w:val="24"/>
              </w:rPr>
              <w:t>0.19</w:t>
            </w:r>
          </w:p>
        </w:tc>
        <w:tc>
          <w:tcPr>
            <w:tcW w:w="206" w:type="dxa"/>
            <w:tcBorders>
              <w:left w:val="nil"/>
              <w:right w:val="nil"/>
            </w:tcBorders>
          </w:tcPr>
          <w:p>
            <w:pPr>
              <w:pStyle w:val="TableParagraph"/>
              <w:ind w:left="0"/>
              <w:rPr>
                <w:sz w:val="24"/>
              </w:rPr>
            </w:pPr>
          </w:p>
        </w:tc>
        <w:tc>
          <w:tcPr>
            <w:tcW w:w="1193" w:type="dxa"/>
            <w:tcBorders>
              <w:left w:val="nil"/>
            </w:tcBorders>
          </w:tcPr>
          <w:p>
            <w:pPr>
              <w:pStyle w:val="TableParagraph"/>
              <w:tabs>
                <w:tab w:pos="657" w:val="left" w:leader="none"/>
              </w:tabs>
              <w:spacing w:line="270" w:lineRule="exact"/>
              <w:ind w:left="0" w:right="95"/>
              <w:jc w:val="right"/>
              <w:rPr>
                <w:sz w:val="24"/>
              </w:rPr>
            </w:pPr>
            <w:r>
              <w:rPr>
                <w:sz w:val="24"/>
              </w:rPr>
              <w:t>/</w:t>
              <w:tab/>
              <w:t>569</w:t>
            </w:r>
          </w:p>
        </w:tc>
        <w:tc>
          <w:tcPr>
            <w:tcW w:w="826" w:type="dxa"/>
            <w:gridSpan w:val="2"/>
            <w:tcBorders>
              <w:right w:val="nil"/>
            </w:tcBorders>
          </w:tcPr>
          <w:p>
            <w:pPr>
              <w:pStyle w:val="TableParagraph"/>
              <w:spacing w:line="270" w:lineRule="exact"/>
              <w:ind w:left="106"/>
              <w:rPr>
                <w:sz w:val="24"/>
              </w:rPr>
            </w:pPr>
            <w:r>
              <w:rPr>
                <w:sz w:val="24"/>
              </w:rPr>
              <w:t>152</w:t>
            </w:r>
          </w:p>
          <w:p>
            <w:pPr>
              <w:pStyle w:val="TableParagraph"/>
              <w:spacing w:before="137"/>
              <w:ind w:left="106"/>
              <w:rPr>
                <w:sz w:val="24"/>
              </w:rPr>
            </w:pPr>
            <w:r>
              <w:rPr>
                <w:sz w:val="24"/>
              </w:rPr>
              <w:t>0.27</w:t>
            </w:r>
          </w:p>
        </w:tc>
        <w:tc>
          <w:tcPr>
            <w:tcW w:w="1332" w:type="dxa"/>
            <w:tcBorders>
              <w:left w:val="nil"/>
            </w:tcBorders>
          </w:tcPr>
          <w:p>
            <w:pPr>
              <w:pStyle w:val="TableParagraph"/>
              <w:tabs>
                <w:tab w:pos="645" w:val="left" w:leader="none"/>
              </w:tabs>
              <w:spacing w:line="270" w:lineRule="exact"/>
              <w:ind w:left="0" w:right="95"/>
              <w:jc w:val="right"/>
              <w:rPr>
                <w:sz w:val="24"/>
              </w:rPr>
            </w:pPr>
            <w:r>
              <w:rPr>
                <w:sz w:val="24"/>
              </w:rPr>
              <w:t>/</w:t>
              <w:tab/>
              <w:t>569</w:t>
            </w:r>
          </w:p>
        </w:tc>
      </w:tr>
      <w:tr>
        <w:trPr>
          <w:trHeight w:val="414" w:hRule="atLeast"/>
        </w:trPr>
        <w:tc>
          <w:tcPr>
            <w:tcW w:w="9579" w:type="dxa"/>
            <w:gridSpan w:val="11"/>
          </w:tcPr>
          <w:p>
            <w:pPr>
              <w:pStyle w:val="TableParagraph"/>
              <w:spacing w:line="275" w:lineRule="exact"/>
              <w:rPr>
                <w:b/>
                <w:sz w:val="24"/>
              </w:rPr>
            </w:pPr>
            <w:r>
              <w:rPr>
                <w:b/>
                <w:sz w:val="24"/>
              </w:rPr>
              <w:t>Gross Profit Margin = (Revenues - Cost of Goods Sold) / Revenue</w:t>
            </w:r>
          </w:p>
        </w:tc>
      </w:tr>
      <w:tr>
        <w:trPr>
          <w:trHeight w:val="1241" w:hRule="atLeast"/>
        </w:trPr>
        <w:tc>
          <w:tcPr>
            <w:tcW w:w="3058" w:type="dxa"/>
            <w:gridSpan w:val="3"/>
          </w:tcPr>
          <w:p>
            <w:pPr>
              <w:pStyle w:val="TableParagraph"/>
              <w:spacing w:before="4"/>
              <w:ind w:left="0"/>
              <w:rPr>
                <w:sz w:val="35"/>
              </w:rPr>
            </w:pPr>
          </w:p>
          <w:p>
            <w:pPr>
              <w:pStyle w:val="TableParagraph"/>
              <w:rPr>
                <w:sz w:val="24"/>
              </w:rPr>
            </w:pPr>
            <w:r>
              <w:rPr>
                <w:sz w:val="24"/>
              </w:rPr>
              <w:t>Sports Direct Plc</w:t>
            </w:r>
          </w:p>
        </w:tc>
        <w:tc>
          <w:tcPr>
            <w:tcW w:w="2182" w:type="dxa"/>
          </w:tcPr>
          <w:p>
            <w:pPr>
              <w:pStyle w:val="TableParagraph"/>
              <w:spacing w:before="200"/>
              <w:rPr>
                <w:sz w:val="24"/>
              </w:rPr>
            </w:pPr>
            <w:r>
              <w:rPr>
                <w:sz w:val="24"/>
              </w:rPr>
              <w:t>(1599 – 940) /</w:t>
            </w:r>
            <w:r>
              <w:rPr>
                <w:spacing w:val="54"/>
                <w:sz w:val="24"/>
              </w:rPr>
              <w:t> </w:t>
            </w:r>
            <w:r>
              <w:rPr>
                <w:sz w:val="24"/>
              </w:rPr>
              <w:t>1599</w:t>
            </w:r>
          </w:p>
          <w:p>
            <w:pPr>
              <w:pStyle w:val="TableParagraph"/>
              <w:spacing w:before="137"/>
              <w:rPr>
                <w:sz w:val="24"/>
              </w:rPr>
            </w:pPr>
            <w:r>
              <w:rPr>
                <w:sz w:val="24"/>
              </w:rPr>
              <w:t>0.41</w:t>
            </w:r>
          </w:p>
        </w:tc>
        <w:tc>
          <w:tcPr>
            <w:tcW w:w="782" w:type="dxa"/>
            <w:gridSpan w:val="2"/>
            <w:tcBorders>
              <w:right w:val="nil"/>
            </w:tcBorders>
          </w:tcPr>
          <w:p>
            <w:pPr>
              <w:pStyle w:val="TableParagraph"/>
              <w:spacing w:line="270" w:lineRule="exact"/>
              <w:ind w:left="105"/>
              <w:rPr>
                <w:sz w:val="24"/>
              </w:rPr>
            </w:pPr>
            <w:r>
              <w:rPr>
                <w:sz w:val="24"/>
              </w:rPr>
              <w:t>(1836</w:t>
            </w:r>
          </w:p>
          <w:p>
            <w:pPr>
              <w:pStyle w:val="TableParagraph"/>
              <w:spacing w:before="137"/>
              <w:ind w:left="105"/>
              <w:rPr>
                <w:sz w:val="24"/>
              </w:rPr>
            </w:pPr>
            <w:r>
              <w:rPr>
                <w:sz w:val="24"/>
              </w:rPr>
              <w:t>1836</w:t>
            </w:r>
          </w:p>
          <w:p>
            <w:pPr>
              <w:pStyle w:val="TableParagraph"/>
              <w:spacing w:before="139"/>
              <w:ind w:left="105"/>
              <w:rPr>
                <w:sz w:val="24"/>
              </w:rPr>
            </w:pPr>
            <w:r>
              <w:rPr>
                <w:sz w:val="24"/>
              </w:rPr>
              <w:t>0.41</w:t>
            </w:r>
          </w:p>
        </w:tc>
        <w:tc>
          <w:tcPr>
            <w:tcW w:w="206" w:type="dxa"/>
            <w:tcBorders>
              <w:left w:val="nil"/>
              <w:right w:val="nil"/>
            </w:tcBorders>
          </w:tcPr>
          <w:p>
            <w:pPr>
              <w:pStyle w:val="TableParagraph"/>
              <w:spacing w:line="270" w:lineRule="exact"/>
              <w:ind w:left="120"/>
              <w:rPr>
                <w:sz w:val="24"/>
              </w:rPr>
            </w:pPr>
            <w:r>
              <w:rPr>
                <w:w w:val="99"/>
                <w:sz w:val="24"/>
              </w:rPr>
              <w:t>-</w:t>
            </w:r>
          </w:p>
        </w:tc>
        <w:tc>
          <w:tcPr>
            <w:tcW w:w="1193" w:type="dxa"/>
            <w:tcBorders>
              <w:left w:val="nil"/>
            </w:tcBorders>
          </w:tcPr>
          <w:p>
            <w:pPr>
              <w:pStyle w:val="TableParagraph"/>
              <w:tabs>
                <w:tab w:pos="791" w:val="left" w:leader="none"/>
              </w:tabs>
              <w:spacing w:line="270" w:lineRule="exact"/>
              <w:ind w:left="0" w:right="101"/>
              <w:jc w:val="right"/>
              <w:rPr>
                <w:sz w:val="24"/>
              </w:rPr>
            </w:pPr>
            <w:r>
              <w:rPr>
                <w:sz w:val="24"/>
              </w:rPr>
              <w:t>1091)</w:t>
              <w:tab/>
              <w:t>/</w:t>
            </w:r>
          </w:p>
        </w:tc>
        <w:tc>
          <w:tcPr>
            <w:tcW w:w="826" w:type="dxa"/>
            <w:gridSpan w:val="2"/>
            <w:tcBorders>
              <w:right w:val="nil"/>
            </w:tcBorders>
          </w:tcPr>
          <w:p>
            <w:pPr>
              <w:pStyle w:val="TableParagraph"/>
              <w:spacing w:line="270" w:lineRule="exact"/>
              <w:ind w:left="106"/>
              <w:rPr>
                <w:sz w:val="24"/>
              </w:rPr>
            </w:pPr>
            <w:r>
              <w:rPr>
                <w:sz w:val="24"/>
              </w:rPr>
              <w:t>(2186</w:t>
            </w:r>
          </w:p>
          <w:p>
            <w:pPr>
              <w:pStyle w:val="TableParagraph"/>
              <w:spacing w:before="137"/>
              <w:ind w:left="106"/>
              <w:rPr>
                <w:sz w:val="24"/>
              </w:rPr>
            </w:pPr>
            <w:r>
              <w:rPr>
                <w:sz w:val="24"/>
              </w:rPr>
              <w:t>2186</w:t>
            </w:r>
          </w:p>
          <w:p>
            <w:pPr>
              <w:pStyle w:val="TableParagraph"/>
              <w:spacing w:before="139"/>
              <w:ind w:left="106"/>
              <w:rPr>
                <w:sz w:val="24"/>
              </w:rPr>
            </w:pPr>
            <w:r>
              <w:rPr>
                <w:sz w:val="24"/>
              </w:rPr>
              <w:t>0.41</w:t>
            </w:r>
          </w:p>
        </w:tc>
        <w:tc>
          <w:tcPr>
            <w:tcW w:w="1332" w:type="dxa"/>
            <w:tcBorders>
              <w:left w:val="nil"/>
            </w:tcBorders>
          </w:tcPr>
          <w:p>
            <w:pPr>
              <w:pStyle w:val="TableParagraph"/>
              <w:tabs>
                <w:tab w:pos="436" w:val="left" w:leader="none"/>
              </w:tabs>
              <w:spacing w:line="270" w:lineRule="exact"/>
              <w:ind w:left="0" w:right="100"/>
              <w:jc w:val="right"/>
              <w:rPr>
                <w:sz w:val="24"/>
              </w:rPr>
            </w:pPr>
            <w:r>
              <w:rPr>
                <w:sz w:val="24"/>
              </w:rPr>
              <w:t>–</w:t>
              <w:tab/>
            </w:r>
            <w:r>
              <w:rPr>
                <w:spacing w:val="-1"/>
                <w:sz w:val="24"/>
              </w:rPr>
              <w:t>1291)/</w:t>
            </w:r>
          </w:p>
        </w:tc>
      </w:tr>
      <w:tr>
        <w:trPr>
          <w:trHeight w:val="414" w:hRule="atLeast"/>
        </w:trPr>
        <w:tc>
          <w:tcPr>
            <w:tcW w:w="9579" w:type="dxa"/>
            <w:gridSpan w:val="11"/>
          </w:tcPr>
          <w:p>
            <w:pPr>
              <w:pStyle w:val="TableParagraph"/>
              <w:spacing w:line="275" w:lineRule="exact"/>
              <w:rPr>
                <w:b/>
                <w:sz w:val="24"/>
              </w:rPr>
            </w:pPr>
            <w:r>
              <w:rPr>
                <w:b/>
                <w:sz w:val="24"/>
              </w:rPr>
              <w:t>Net Profit Margin = Net Profit / Revenue</w:t>
            </w:r>
          </w:p>
        </w:tc>
      </w:tr>
      <w:tr>
        <w:trPr>
          <w:trHeight w:val="827" w:hRule="atLeast"/>
        </w:trPr>
        <w:tc>
          <w:tcPr>
            <w:tcW w:w="3058" w:type="dxa"/>
            <w:gridSpan w:val="3"/>
          </w:tcPr>
          <w:p>
            <w:pPr>
              <w:pStyle w:val="TableParagraph"/>
              <w:spacing w:before="200"/>
              <w:rPr>
                <w:sz w:val="24"/>
              </w:rPr>
            </w:pPr>
            <w:r>
              <w:rPr>
                <w:sz w:val="24"/>
              </w:rPr>
              <w:t>Sports Direct Plc</w:t>
            </w:r>
          </w:p>
        </w:tc>
        <w:tc>
          <w:tcPr>
            <w:tcW w:w="2182" w:type="dxa"/>
          </w:tcPr>
          <w:p>
            <w:pPr>
              <w:pStyle w:val="TableParagraph"/>
              <w:tabs>
                <w:tab w:pos="938" w:val="left" w:leader="none"/>
                <w:tab w:pos="1595" w:val="left" w:leader="none"/>
              </w:tabs>
              <w:spacing w:line="270" w:lineRule="exact"/>
              <w:rPr>
                <w:sz w:val="24"/>
              </w:rPr>
            </w:pPr>
            <w:r>
              <w:rPr>
                <w:sz w:val="24"/>
              </w:rPr>
              <w:t>84</w:t>
              <w:tab/>
              <w:t>/</w:t>
              <w:tab/>
              <w:t>1599</w:t>
            </w:r>
          </w:p>
          <w:p>
            <w:pPr>
              <w:pStyle w:val="TableParagraph"/>
              <w:spacing w:before="139"/>
              <w:rPr>
                <w:sz w:val="24"/>
              </w:rPr>
            </w:pPr>
            <w:r>
              <w:rPr>
                <w:sz w:val="24"/>
              </w:rPr>
              <w:t>0.05</w:t>
            </w:r>
          </w:p>
        </w:tc>
        <w:tc>
          <w:tcPr>
            <w:tcW w:w="782" w:type="dxa"/>
            <w:gridSpan w:val="2"/>
            <w:tcBorders>
              <w:right w:val="nil"/>
            </w:tcBorders>
          </w:tcPr>
          <w:p>
            <w:pPr>
              <w:pStyle w:val="TableParagraph"/>
              <w:spacing w:line="270" w:lineRule="exact"/>
              <w:ind w:left="105"/>
              <w:rPr>
                <w:sz w:val="24"/>
              </w:rPr>
            </w:pPr>
            <w:r>
              <w:rPr>
                <w:sz w:val="24"/>
              </w:rPr>
              <w:t>106</w:t>
            </w:r>
          </w:p>
          <w:p>
            <w:pPr>
              <w:pStyle w:val="TableParagraph"/>
              <w:spacing w:before="139"/>
              <w:ind w:left="105"/>
              <w:rPr>
                <w:sz w:val="24"/>
              </w:rPr>
            </w:pPr>
            <w:r>
              <w:rPr>
                <w:sz w:val="24"/>
              </w:rPr>
              <w:t>0.06</w:t>
            </w:r>
          </w:p>
        </w:tc>
        <w:tc>
          <w:tcPr>
            <w:tcW w:w="206" w:type="dxa"/>
            <w:tcBorders>
              <w:left w:val="nil"/>
              <w:right w:val="nil"/>
            </w:tcBorders>
          </w:tcPr>
          <w:p>
            <w:pPr>
              <w:pStyle w:val="TableParagraph"/>
              <w:ind w:left="0"/>
              <w:rPr>
                <w:sz w:val="24"/>
              </w:rPr>
            </w:pPr>
          </w:p>
        </w:tc>
        <w:tc>
          <w:tcPr>
            <w:tcW w:w="1193" w:type="dxa"/>
            <w:tcBorders>
              <w:left w:val="nil"/>
            </w:tcBorders>
          </w:tcPr>
          <w:p>
            <w:pPr>
              <w:pStyle w:val="TableParagraph"/>
              <w:tabs>
                <w:tab w:pos="597" w:val="left" w:leader="none"/>
              </w:tabs>
              <w:spacing w:line="270" w:lineRule="exact"/>
              <w:ind w:left="0" w:right="95"/>
              <w:jc w:val="right"/>
              <w:rPr>
                <w:sz w:val="24"/>
              </w:rPr>
            </w:pPr>
            <w:r>
              <w:rPr>
                <w:sz w:val="24"/>
              </w:rPr>
              <w:t>/</w:t>
              <w:tab/>
              <w:t>1836</w:t>
            </w:r>
          </w:p>
        </w:tc>
        <w:tc>
          <w:tcPr>
            <w:tcW w:w="826" w:type="dxa"/>
            <w:gridSpan w:val="2"/>
            <w:tcBorders>
              <w:right w:val="nil"/>
            </w:tcBorders>
          </w:tcPr>
          <w:p>
            <w:pPr>
              <w:pStyle w:val="TableParagraph"/>
              <w:spacing w:line="270" w:lineRule="exact"/>
              <w:ind w:left="106"/>
              <w:rPr>
                <w:sz w:val="24"/>
              </w:rPr>
            </w:pPr>
            <w:r>
              <w:rPr>
                <w:sz w:val="24"/>
              </w:rPr>
              <w:t>152</w:t>
            </w:r>
          </w:p>
          <w:p>
            <w:pPr>
              <w:pStyle w:val="TableParagraph"/>
              <w:spacing w:before="139"/>
              <w:ind w:left="106"/>
              <w:rPr>
                <w:sz w:val="24"/>
              </w:rPr>
            </w:pPr>
            <w:r>
              <w:rPr>
                <w:sz w:val="24"/>
              </w:rPr>
              <w:t>0.07</w:t>
            </w:r>
          </w:p>
        </w:tc>
        <w:tc>
          <w:tcPr>
            <w:tcW w:w="1332" w:type="dxa"/>
            <w:tcBorders>
              <w:left w:val="nil"/>
            </w:tcBorders>
          </w:tcPr>
          <w:p>
            <w:pPr>
              <w:pStyle w:val="TableParagraph"/>
              <w:tabs>
                <w:tab w:pos="583" w:val="left" w:leader="none"/>
              </w:tabs>
              <w:spacing w:line="270" w:lineRule="exact"/>
              <w:ind w:left="0" w:right="97"/>
              <w:jc w:val="right"/>
              <w:rPr>
                <w:sz w:val="24"/>
              </w:rPr>
            </w:pPr>
            <w:r>
              <w:rPr>
                <w:sz w:val="24"/>
              </w:rPr>
              <w:t>/</w:t>
              <w:tab/>
              <w:t>2186</w:t>
            </w:r>
          </w:p>
        </w:tc>
      </w:tr>
      <w:tr>
        <w:trPr>
          <w:trHeight w:val="599" w:hRule="atLeast"/>
        </w:trPr>
        <w:tc>
          <w:tcPr>
            <w:tcW w:w="3058" w:type="dxa"/>
            <w:gridSpan w:val="3"/>
          </w:tcPr>
          <w:p>
            <w:pPr>
              <w:pStyle w:val="TableParagraph"/>
              <w:spacing w:before="92"/>
              <w:ind w:left="167"/>
              <w:rPr>
                <w:b/>
                <w:sz w:val="24"/>
              </w:rPr>
            </w:pPr>
            <w:r>
              <w:rPr>
                <w:b/>
                <w:sz w:val="24"/>
              </w:rPr>
              <w:t>Profitability ratio</w:t>
            </w:r>
          </w:p>
        </w:tc>
        <w:tc>
          <w:tcPr>
            <w:tcW w:w="2182" w:type="dxa"/>
          </w:tcPr>
          <w:p>
            <w:pPr>
              <w:pStyle w:val="TableParagraph"/>
              <w:spacing w:before="92"/>
              <w:rPr>
                <w:b/>
                <w:sz w:val="24"/>
              </w:rPr>
            </w:pPr>
            <w:r>
              <w:rPr>
                <w:b/>
                <w:sz w:val="24"/>
              </w:rPr>
              <w:t>2011</w:t>
            </w:r>
          </w:p>
        </w:tc>
        <w:tc>
          <w:tcPr>
            <w:tcW w:w="2181" w:type="dxa"/>
            <w:gridSpan w:val="4"/>
          </w:tcPr>
          <w:p>
            <w:pPr>
              <w:pStyle w:val="TableParagraph"/>
              <w:spacing w:before="92"/>
              <w:ind w:left="105"/>
              <w:rPr>
                <w:b/>
                <w:sz w:val="24"/>
              </w:rPr>
            </w:pPr>
            <w:r>
              <w:rPr>
                <w:b/>
                <w:sz w:val="24"/>
              </w:rPr>
              <w:t>2012</w:t>
            </w:r>
          </w:p>
        </w:tc>
        <w:tc>
          <w:tcPr>
            <w:tcW w:w="2158" w:type="dxa"/>
            <w:gridSpan w:val="3"/>
          </w:tcPr>
          <w:p>
            <w:pPr>
              <w:pStyle w:val="TableParagraph"/>
              <w:spacing w:before="92"/>
              <w:ind w:left="106"/>
              <w:rPr>
                <w:b/>
                <w:sz w:val="24"/>
              </w:rPr>
            </w:pPr>
            <w:r>
              <w:rPr>
                <w:b/>
                <w:sz w:val="24"/>
              </w:rPr>
              <w:t>2013</w:t>
            </w:r>
          </w:p>
        </w:tc>
      </w:tr>
      <w:tr>
        <w:trPr>
          <w:trHeight w:val="599" w:hRule="atLeast"/>
        </w:trPr>
        <w:tc>
          <w:tcPr>
            <w:tcW w:w="3058" w:type="dxa"/>
            <w:gridSpan w:val="3"/>
          </w:tcPr>
          <w:p>
            <w:pPr>
              <w:pStyle w:val="TableParagraph"/>
              <w:spacing w:before="87"/>
              <w:rPr>
                <w:sz w:val="24"/>
              </w:rPr>
            </w:pPr>
            <w:r>
              <w:rPr>
                <w:sz w:val="24"/>
              </w:rPr>
              <w:t>Return on Assets %</w:t>
            </w:r>
          </w:p>
        </w:tc>
        <w:tc>
          <w:tcPr>
            <w:tcW w:w="2182" w:type="dxa"/>
          </w:tcPr>
          <w:p>
            <w:pPr>
              <w:pStyle w:val="TableParagraph"/>
              <w:spacing w:before="87"/>
              <w:rPr>
                <w:sz w:val="24"/>
              </w:rPr>
            </w:pPr>
            <w:r>
              <w:rPr>
                <w:sz w:val="24"/>
              </w:rPr>
              <w:t>8.97</w:t>
            </w:r>
          </w:p>
        </w:tc>
        <w:tc>
          <w:tcPr>
            <w:tcW w:w="2181" w:type="dxa"/>
            <w:gridSpan w:val="4"/>
          </w:tcPr>
          <w:p>
            <w:pPr>
              <w:pStyle w:val="TableParagraph"/>
              <w:spacing w:before="87"/>
              <w:ind w:left="105"/>
              <w:rPr>
                <w:sz w:val="24"/>
              </w:rPr>
            </w:pPr>
            <w:r>
              <w:rPr>
                <w:sz w:val="24"/>
              </w:rPr>
              <w:t>10.37</w:t>
            </w:r>
          </w:p>
        </w:tc>
        <w:tc>
          <w:tcPr>
            <w:tcW w:w="2158" w:type="dxa"/>
            <w:gridSpan w:val="3"/>
          </w:tcPr>
          <w:p>
            <w:pPr>
              <w:pStyle w:val="TableParagraph"/>
              <w:spacing w:before="87"/>
              <w:ind w:left="106"/>
              <w:rPr>
                <w:sz w:val="24"/>
              </w:rPr>
            </w:pPr>
            <w:r>
              <w:rPr>
                <w:sz w:val="24"/>
              </w:rPr>
              <w:t>11.93</w:t>
            </w:r>
          </w:p>
        </w:tc>
      </w:tr>
      <w:tr>
        <w:trPr>
          <w:trHeight w:val="599" w:hRule="atLeast"/>
        </w:trPr>
        <w:tc>
          <w:tcPr>
            <w:tcW w:w="3058" w:type="dxa"/>
            <w:gridSpan w:val="3"/>
          </w:tcPr>
          <w:p>
            <w:pPr>
              <w:pStyle w:val="TableParagraph"/>
              <w:spacing w:before="87"/>
              <w:rPr>
                <w:sz w:val="24"/>
              </w:rPr>
            </w:pPr>
            <w:r>
              <w:rPr>
                <w:sz w:val="24"/>
              </w:rPr>
              <w:t>Return on Equity %</w:t>
            </w:r>
          </w:p>
        </w:tc>
        <w:tc>
          <w:tcPr>
            <w:tcW w:w="2182" w:type="dxa"/>
          </w:tcPr>
          <w:p>
            <w:pPr>
              <w:pStyle w:val="TableParagraph"/>
              <w:spacing w:before="87"/>
              <w:rPr>
                <w:sz w:val="24"/>
              </w:rPr>
            </w:pPr>
            <w:r>
              <w:rPr>
                <w:sz w:val="24"/>
              </w:rPr>
              <w:t>28.49</w:t>
            </w:r>
          </w:p>
        </w:tc>
        <w:tc>
          <w:tcPr>
            <w:tcW w:w="2181" w:type="dxa"/>
            <w:gridSpan w:val="4"/>
          </w:tcPr>
          <w:p>
            <w:pPr>
              <w:pStyle w:val="TableParagraph"/>
              <w:spacing w:before="87"/>
              <w:ind w:left="105"/>
              <w:rPr>
                <w:sz w:val="24"/>
              </w:rPr>
            </w:pPr>
            <w:r>
              <w:rPr>
                <w:sz w:val="24"/>
              </w:rPr>
              <w:t>26.45</w:t>
            </w:r>
          </w:p>
        </w:tc>
        <w:tc>
          <w:tcPr>
            <w:tcW w:w="2158" w:type="dxa"/>
            <w:gridSpan w:val="3"/>
          </w:tcPr>
          <w:p>
            <w:pPr>
              <w:pStyle w:val="TableParagraph"/>
              <w:spacing w:before="87"/>
              <w:ind w:left="106"/>
              <w:rPr>
                <w:sz w:val="24"/>
              </w:rPr>
            </w:pPr>
            <w:r>
              <w:rPr>
                <w:sz w:val="24"/>
              </w:rPr>
              <w:t>27.15</w:t>
            </w:r>
          </w:p>
        </w:tc>
      </w:tr>
      <w:tr>
        <w:trPr>
          <w:trHeight w:val="602" w:hRule="atLeast"/>
        </w:trPr>
        <w:tc>
          <w:tcPr>
            <w:tcW w:w="3058" w:type="dxa"/>
            <w:gridSpan w:val="3"/>
          </w:tcPr>
          <w:p>
            <w:pPr>
              <w:pStyle w:val="TableParagraph"/>
              <w:spacing w:before="88"/>
              <w:rPr>
                <w:sz w:val="24"/>
              </w:rPr>
            </w:pPr>
            <w:r>
              <w:rPr>
                <w:sz w:val="24"/>
              </w:rPr>
              <w:t>Return on Invested Capital %</w:t>
            </w:r>
          </w:p>
        </w:tc>
        <w:tc>
          <w:tcPr>
            <w:tcW w:w="2182" w:type="dxa"/>
          </w:tcPr>
          <w:p>
            <w:pPr>
              <w:pStyle w:val="TableParagraph"/>
              <w:spacing w:before="88"/>
              <w:rPr>
                <w:sz w:val="24"/>
              </w:rPr>
            </w:pPr>
            <w:r>
              <w:rPr>
                <w:sz w:val="24"/>
              </w:rPr>
              <w:t>15.38</w:t>
            </w:r>
          </w:p>
        </w:tc>
        <w:tc>
          <w:tcPr>
            <w:tcW w:w="2181" w:type="dxa"/>
            <w:gridSpan w:val="4"/>
          </w:tcPr>
          <w:p>
            <w:pPr>
              <w:pStyle w:val="TableParagraph"/>
              <w:spacing w:before="88"/>
              <w:ind w:left="105"/>
              <w:rPr>
                <w:sz w:val="24"/>
              </w:rPr>
            </w:pPr>
            <w:r>
              <w:rPr>
                <w:sz w:val="24"/>
              </w:rPr>
              <w:t>18.18</w:t>
            </w:r>
          </w:p>
        </w:tc>
        <w:tc>
          <w:tcPr>
            <w:tcW w:w="2158" w:type="dxa"/>
            <w:gridSpan w:val="3"/>
          </w:tcPr>
          <w:p>
            <w:pPr>
              <w:pStyle w:val="TableParagraph"/>
              <w:spacing w:before="88"/>
              <w:ind w:left="106"/>
              <w:rPr>
                <w:sz w:val="24"/>
              </w:rPr>
            </w:pPr>
            <w:r>
              <w:rPr>
                <w:sz w:val="24"/>
              </w:rPr>
              <w:t>18.79</w:t>
            </w:r>
          </w:p>
        </w:tc>
      </w:tr>
    </w:tbl>
    <w:p>
      <w:pPr>
        <w:pStyle w:val="Heading1"/>
        <w:spacing w:before="119"/>
        <w:jc w:val="both"/>
      </w:pPr>
      <w:r>
        <w:rPr/>
        <w:pict>
          <v:group style="position:absolute;margin-left:24pt;margin-top:24pt;width:564.15pt;height:768.15pt;mso-position-horizontal-relative:page;mso-position-vertical-relative:page;z-index:-253581312"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t>Return on asset</w:t>
      </w:r>
    </w:p>
    <w:p>
      <w:pPr>
        <w:pStyle w:val="BodyText"/>
        <w:rPr>
          <w:b/>
          <w:sz w:val="29"/>
        </w:rPr>
      </w:pPr>
    </w:p>
    <w:p>
      <w:pPr>
        <w:pStyle w:val="BodyText"/>
        <w:spacing w:line="360" w:lineRule="auto"/>
        <w:ind w:left="220" w:right="221"/>
        <w:jc w:val="both"/>
      </w:pPr>
      <w:r>
        <w:rPr/>
        <w:t>Return on asset is increasing with the increase in year which signifies that the company is making profit with the increase in fiscal year.</w:t>
      </w:r>
    </w:p>
    <w:p>
      <w:pPr>
        <w:pStyle w:val="Heading1"/>
        <w:spacing w:before="204"/>
        <w:jc w:val="both"/>
      </w:pPr>
      <w:r>
        <w:rPr/>
        <w:t>Return on Equity</w:t>
      </w:r>
    </w:p>
    <w:p>
      <w:pPr>
        <w:pStyle w:val="BodyText"/>
        <w:rPr>
          <w:b/>
          <w:sz w:val="29"/>
        </w:rPr>
      </w:pPr>
    </w:p>
    <w:p>
      <w:pPr>
        <w:pStyle w:val="BodyText"/>
        <w:spacing w:line="360" w:lineRule="auto"/>
        <w:ind w:left="220" w:right="213"/>
        <w:jc w:val="both"/>
      </w:pPr>
      <w:r>
        <w:rPr/>
        <w:t>Return on equity is considered as one of the vital measure of profitability of the company higher value of return on equity proves to be crucial and fruitful for the company. The return on equity is fluctuating which indicate that the company is not efficient in generating income on new investment.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r>
        <w:rPr/>
        <w:pict>
          <v:group style="position:absolute;margin-left:281.25pt;margin-top:18.549606pt;width:49.35pt;height:49.35pt;mso-position-horizontal-relative:page;mso-position-vertical-relative:paragraph;z-index:-251637760;mso-wrap-distance-left:0;mso-wrap-distance-right:0" coordorigin="5625,371" coordsize="987,987">
            <v:shape style="position:absolute;left:5625;top:371;width:987;height:987" coordorigin="5625,371" coordsize="987,987" path="m6119,371l6046,376,5976,392,5911,417,5850,451,5795,492,5746,541,5705,596,5671,656,5646,722,5630,792,5625,864,5630,937,5646,1007,5671,1073,5705,1133,5746,1188,5795,1237,5850,1278,5911,1312,5976,1337,6046,1353,6119,1358,6191,1353,6261,1337,6327,1312,6387,1278,6442,1237,6491,1188,6532,1133,6566,1073,6591,1007,6607,937,6612,864,6607,792,6591,722,6566,656,6532,596,6491,541,6442,492,6387,451,6327,417,6261,392,6191,376,6119,371xe" filled="true" fillcolor="#375f92" stroked="false">
              <v:path arrowok="t"/>
              <v:fill type="solid"/>
            </v:shape>
            <v:shape style="position:absolute;left:5769;top:587;width:699;height:555" type="#_x0000_t75" stroked="false">
              <v:imagedata r:id="rId10" o:title=""/>
            </v:shape>
            <v:shape style="position:absolute;left:5625;top:371;width:987;height:987" type="#_x0000_t202" filled="false" stroked="false">
              <v:textbox inset="0,0,0,0">
                <w:txbxContent>
                  <w:p>
                    <w:pPr>
                      <w:spacing w:before="315"/>
                      <w:ind w:left="0" w:right="0" w:firstLine="0"/>
                      <w:jc w:val="center"/>
                      <w:rPr>
                        <w:rFonts w:ascii="Arial"/>
                        <w:b/>
                        <w:sz w:val="32"/>
                      </w:rPr>
                    </w:pPr>
                    <w:r>
                      <w:rPr>
                        <w:rFonts w:ascii="Arial"/>
                        <w:b/>
                        <w:color w:val="FFFFFF"/>
                        <w:w w:val="99"/>
                        <w:sz w:val="32"/>
                      </w:rPr>
                      <w:t>8</w:t>
                    </w:r>
                  </w:p>
                </w:txbxContent>
              </v:textbox>
              <w10:wrap type="none"/>
            </v:shape>
            <w10:wrap type="topAndBottom"/>
          </v:group>
        </w:pict>
      </w:r>
    </w:p>
    <w:p>
      <w:pPr>
        <w:spacing w:after="0"/>
        <w:rPr>
          <w:sz w:val="28"/>
        </w:rPr>
        <w:sectPr>
          <w:pgSz w:w="12240" w:h="15840"/>
          <w:pgMar w:top="1440" w:bottom="0" w:left="1220" w:right="1220"/>
        </w:sectPr>
      </w:pPr>
    </w:p>
    <w:p>
      <w:pPr>
        <w:pStyle w:val="Heading1"/>
        <w:jc w:val="both"/>
      </w:pPr>
      <w:r>
        <w:rPr/>
        <w:pict>
          <v:group style="position:absolute;margin-left:24pt;margin-top:24pt;width:564.15pt;height:768.15pt;mso-position-horizontal-relative:page;mso-position-vertical-relative:page;z-index:-253578240"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t>Return on Invested capital</w:t>
      </w:r>
    </w:p>
    <w:p>
      <w:pPr>
        <w:pStyle w:val="BodyText"/>
        <w:rPr>
          <w:b/>
          <w:sz w:val="29"/>
        </w:rPr>
      </w:pPr>
    </w:p>
    <w:p>
      <w:pPr>
        <w:pStyle w:val="BodyText"/>
        <w:spacing w:line="360" w:lineRule="auto"/>
        <w:ind w:left="220" w:right="215"/>
        <w:jc w:val="both"/>
      </w:pPr>
      <w:r>
        <w:rPr/>
        <w:t>Return on invested capital is increasing in the year 2011 but remain constant in the year 2013 when compared with the year 2012. Increase in the return on invested capital indicates that the company is generating more earning per dollar of capital employed.</w:t>
      </w:r>
    </w:p>
    <w:p>
      <w:pPr>
        <w:pStyle w:val="BodyText"/>
        <w:spacing w:line="360" w:lineRule="auto" w:before="201"/>
        <w:ind w:left="220" w:right="217"/>
        <w:jc w:val="both"/>
      </w:pPr>
      <w:r>
        <w:rPr/>
        <w:t>According to the calculation, based on the position of the company considering the margin, the company of Sport Direct Plc is enjoying the favourable position that other competitors in the market (Robinson, 2012). The greater margin compared to the market competitors is achieved by the company for giving the preference to the varieties of brand sold by the company for conducting the business and also maintaining the growth. Also the online presence of the company gives it the advantage of lowering the overheads involved in the operation (Plummer, 2010). Considering the latest scenario, the company has taken a charge of £1.2 billion for exciting its US business. This had a favoring impact on the company’s profitability margin and EPS.</w:t>
      </w:r>
    </w:p>
    <w:p>
      <w:pPr>
        <w:pStyle w:val="Heading1"/>
        <w:spacing w:before="204"/>
        <w:jc w:val="both"/>
      </w:pPr>
      <w:bookmarkStart w:name="_bookmark9" w:id="12"/>
      <w:bookmarkEnd w:id="12"/>
      <w:r>
        <w:rPr>
          <w:b w:val="0"/>
        </w:rPr>
      </w:r>
      <w:r>
        <w:rPr>
          <w:color w:val="4F81BC"/>
        </w:rPr>
        <w:t>Efficiency</w:t>
      </w:r>
      <w:r>
        <w:rPr>
          <w:color w:val="4F81BC"/>
          <w:spacing w:val="-4"/>
        </w:rPr>
        <w:t> </w:t>
      </w:r>
      <w:r>
        <w:rPr>
          <w:color w:val="4F81BC"/>
        </w:rPr>
        <w:t>Ratios</w:t>
      </w:r>
    </w:p>
    <w:p>
      <w:pPr>
        <w:pStyle w:val="BodyText"/>
        <w:spacing w:before="1"/>
        <w:rPr>
          <w:b/>
          <w:sz w:val="22"/>
        </w:rPr>
      </w:pPr>
    </w:p>
    <w:p>
      <w:pPr>
        <w:pStyle w:val="BodyText"/>
        <w:spacing w:line="360" w:lineRule="auto"/>
        <w:ind w:left="220" w:right="218"/>
        <w:jc w:val="both"/>
      </w:pPr>
      <w:r>
        <w:rPr/>
        <w:t>The main purpose of these ratios are to indicate the ability of the company on how efficiently it is utilizing its assets as well as liabilities to produce more revenues for the business operation (McMillan,</w:t>
      </w:r>
      <w:r>
        <w:rPr>
          <w:spacing w:val="-1"/>
        </w:rPr>
        <w:t> </w:t>
      </w:r>
      <w:r>
        <w:rPr/>
        <w:t>2010).</w:t>
      </w:r>
    </w:p>
    <w:p>
      <w:pPr>
        <w:pStyle w:val="BodyText"/>
        <w:spacing w:line="360" w:lineRule="auto" w:before="201"/>
        <w:ind w:left="220" w:right="221"/>
        <w:jc w:val="both"/>
      </w:pPr>
      <w:bookmarkStart w:name="_bookmark10" w:id="13"/>
      <w:bookmarkEnd w:id="13"/>
      <w:r>
        <w:rPr/>
      </w:r>
      <w:r>
        <w:rPr>
          <w:b/>
        </w:rPr>
        <w:t>Sales to Inventory </w:t>
      </w:r>
      <w:r>
        <w:rPr/>
        <w:t>– sales to inventory ratio is considered in this case to make a clear understanding of the efficiency of the proposed company as compared to the peers of the business.</w:t>
      </w:r>
    </w:p>
    <w:p>
      <w:pPr>
        <w:pStyle w:val="BodyText"/>
        <w:spacing w:before="198"/>
        <w:ind w:left="220"/>
        <w:jc w:val="both"/>
      </w:pPr>
      <w:r>
        <w:rPr/>
        <w:t>The calculation can be shown below:</w:t>
      </w:r>
    </w:p>
    <w:p>
      <w:pPr>
        <w:pStyle w:val="BodyText"/>
        <w:spacing w:before="10" w:after="1"/>
        <w:rPr>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6"/>
        <w:gridCol w:w="2499"/>
        <w:gridCol w:w="2436"/>
        <w:gridCol w:w="2007"/>
      </w:tblGrid>
      <w:tr>
        <w:trPr>
          <w:trHeight w:val="617" w:hRule="atLeast"/>
        </w:trPr>
        <w:tc>
          <w:tcPr>
            <w:tcW w:w="9578" w:type="dxa"/>
            <w:gridSpan w:val="4"/>
          </w:tcPr>
          <w:p>
            <w:pPr>
              <w:pStyle w:val="TableParagraph"/>
              <w:spacing w:before="100"/>
              <w:rPr>
                <w:b/>
                <w:sz w:val="24"/>
              </w:rPr>
            </w:pPr>
            <w:r>
              <w:rPr>
                <w:b/>
                <w:sz w:val="24"/>
              </w:rPr>
              <w:t>Sales to Inventory = Total Sales / Inventories</w:t>
            </w:r>
          </w:p>
        </w:tc>
      </w:tr>
      <w:tr>
        <w:trPr>
          <w:trHeight w:val="412" w:hRule="atLeast"/>
        </w:trPr>
        <w:tc>
          <w:tcPr>
            <w:tcW w:w="2636" w:type="dxa"/>
          </w:tcPr>
          <w:p>
            <w:pPr>
              <w:pStyle w:val="TableParagraph"/>
              <w:spacing w:line="275" w:lineRule="exact"/>
              <w:rPr>
                <w:b/>
                <w:sz w:val="24"/>
              </w:rPr>
            </w:pPr>
            <w:r>
              <w:rPr>
                <w:b/>
                <w:sz w:val="24"/>
              </w:rPr>
              <w:t>Name of the Company</w:t>
            </w:r>
          </w:p>
        </w:tc>
        <w:tc>
          <w:tcPr>
            <w:tcW w:w="2499" w:type="dxa"/>
          </w:tcPr>
          <w:p>
            <w:pPr>
              <w:pStyle w:val="TableParagraph"/>
              <w:spacing w:line="275" w:lineRule="exact"/>
              <w:rPr>
                <w:b/>
                <w:sz w:val="24"/>
              </w:rPr>
            </w:pPr>
            <w:r>
              <w:rPr>
                <w:b/>
                <w:sz w:val="24"/>
              </w:rPr>
              <w:t>2011</w:t>
            </w:r>
          </w:p>
        </w:tc>
        <w:tc>
          <w:tcPr>
            <w:tcW w:w="2436" w:type="dxa"/>
          </w:tcPr>
          <w:p>
            <w:pPr>
              <w:pStyle w:val="TableParagraph"/>
              <w:spacing w:line="275" w:lineRule="exact"/>
              <w:rPr>
                <w:b/>
                <w:sz w:val="24"/>
              </w:rPr>
            </w:pPr>
            <w:r>
              <w:rPr>
                <w:b/>
                <w:sz w:val="24"/>
              </w:rPr>
              <w:t>2012</w:t>
            </w:r>
          </w:p>
        </w:tc>
        <w:tc>
          <w:tcPr>
            <w:tcW w:w="2007" w:type="dxa"/>
          </w:tcPr>
          <w:p>
            <w:pPr>
              <w:pStyle w:val="TableParagraph"/>
              <w:spacing w:line="275" w:lineRule="exact"/>
              <w:rPr>
                <w:b/>
                <w:sz w:val="24"/>
              </w:rPr>
            </w:pPr>
            <w:r>
              <w:rPr>
                <w:b/>
                <w:sz w:val="24"/>
              </w:rPr>
              <w:t>2013</w:t>
            </w:r>
          </w:p>
        </w:tc>
      </w:tr>
      <w:tr>
        <w:trPr>
          <w:trHeight w:val="1242" w:hRule="atLeast"/>
        </w:trPr>
        <w:tc>
          <w:tcPr>
            <w:tcW w:w="2636" w:type="dxa"/>
          </w:tcPr>
          <w:p>
            <w:pPr>
              <w:pStyle w:val="TableParagraph"/>
              <w:spacing w:before="6"/>
              <w:ind w:left="0"/>
              <w:rPr>
                <w:sz w:val="35"/>
              </w:rPr>
            </w:pPr>
          </w:p>
          <w:p>
            <w:pPr>
              <w:pStyle w:val="TableParagraph"/>
              <w:spacing w:before="1"/>
              <w:rPr>
                <w:sz w:val="24"/>
              </w:rPr>
            </w:pPr>
            <w:r>
              <w:rPr>
                <w:sz w:val="24"/>
              </w:rPr>
              <w:t>Sports Direct Plc</w:t>
            </w:r>
          </w:p>
        </w:tc>
        <w:tc>
          <w:tcPr>
            <w:tcW w:w="2499" w:type="dxa"/>
          </w:tcPr>
          <w:p>
            <w:pPr>
              <w:pStyle w:val="TableParagraph"/>
              <w:tabs>
                <w:tab w:pos="791" w:val="left" w:leader="none"/>
                <w:tab w:pos="1062" w:val="left" w:leader="none"/>
                <w:tab w:pos="1626" w:val="left" w:leader="none"/>
                <w:tab w:pos="1965" w:val="left" w:leader="none"/>
              </w:tabs>
              <w:spacing w:line="270" w:lineRule="exact"/>
              <w:rPr>
                <w:sz w:val="24"/>
              </w:rPr>
            </w:pPr>
            <w:r>
              <w:rPr>
                <w:sz w:val="24"/>
              </w:rPr>
              <w:t>1599</w:t>
              <w:tab/>
              <w:t>/</w:t>
              <w:tab/>
              <w:t>218</w:t>
              <w:tab/>
              <w:t>=</w:t>
              <w:tab/>
              <w:t>7.33</w:t>
            </w:r>
          </w:p>
          <w:p>
            <w:pPr>
              <w:pStyle w:val="TableParagraph"/>
              <w:tabs>
                <w:tab w:pos="1184" w:val="left" w:leader="none"/>
                <w:tab w:pos="1969" w:val="left" w:leader="none"/>
              </w:tabs>
              <w:spacing w:before="139"/>
              <w:rPr>
                <w:sz w:val="24"/>
              </w:rPr>
            </w:pPr>
            <w:r>
              <w:rPr>
                <w:sz w:val="24"/>
              </w:rPr>
              <w:t>365</w:t>
              <w:tab/>
              <w:t>/</w:t>
              <w:tab/>
              <w:t>7.33</w:t>
            </w:r>
          </w:p>
          <w:p>
            <w:pPr>
              <w:pStyle w:val="TableParagraph"/>
              <w:spacing w:before="137"/>
              <w:rPr>
                <w:sz w:val="24"/>
              </w:rPr>
            </w:pPr>
            <w:r>
              <w:rPr>
                <w:sz w:val="24"/>
              </w:rPr>
              <w:t>50 Days</w:t>
            </w:r>
          </w:p>
        </w:tc>
        <w:tc>
          <w:tcPr>
            <w:tcW w:w="2436" w:type="dxa"/>
          </w:tcPr>
          <w:p>
            <w:pPr>
              <w:pStyle w:val="TableParagraph"/>
              <w:spacing w:line="270" w:lineRule="exact"/>
              <w:rPr>
                <w:sz w:val="24"/>
              </w:rPr>
            </w:pPr>
            <w:r>
              <w:rPr>
                <w:sz w:val="24"/>
              </w:rPr>
              <w:t>1836   /   317   =  </w:t>
            </w:r>
            <w:r>
              <w:rPr>
                <w:spacing w:val="36"/>
                <w:sz w:val="24"/>
              </w:rPr>
              <w:t> </w:t>
            </w:r>
            <w:r>
              <w:rPr>
                <w:sz w:val="24"/>
              </w:rPr>
              <w:t>5.80</w:t>
            </w:r>
          </w:p>
          <w:p>
            <w:pPr>
              <w:pStyle w:val="TableParagraph"/>
              <w:tabs>
                <w:tab w:pos="1153" w:val="left" w:leader="none"/>
                <w:tab w:pos="1907" w:val="left" w:leader="none"/>
              </w:tabs>
              <w:spacing w:before="139"/>
              <w:rPr>
                <w:sz w:val="24"/>
              </w:rPr>
            </w:pPr>
            <w:r>
              <w:rPr>
                <w:sz w:val="24"/>
              </w:rPr>
              <w:t>365</w:t>
              <w:tab/>
              <w:t>/</w:t>
              <w:tab/>
              <w:t>5.80</w:t>
            </w:r>
          </w:p>
          <w:p>
            <w:pPr>
              <w:pStyle w:val="TableParagraph"/>
              <w:spacing w:before="137"/>
              <w:rPr>
                <w:sz w:val="24"/>
              </w:rPr>
            </w:pPr>
            <w:r>
              <w:rPr>
                <w:sz w:val="24"/>
              </w:rPr>
              <w:t>63 Days</w:t>
            </w:r>
          </w:p>
        </w:tc>
        <w:tc>
          <w:tcPr>
            <w:tcW w:w="2007" w:type="dxa"/>
          </w:tcPr>
          <w:p>
            <w:pPr>
              <w:pStyle w:val="TableParagraph"/>
              <w:spacing w:line="270" w:lineRule="exact"/>
              <w:rPr>
                <w:sz w:val="24"/>
              </w:rPr>
            </w:pPr>
            <w:r>
              <w:rPr>
                <w:sz w:val="24"/>
              </w:rPr>
              <w:t>2186 / 447 = </w:t>
            </w:r>
            <w:r>
              <w:rPr>
                <w:spacing w:val="24"/>
                <w:sz w:val="24"/>
              </w:rPr>
              <w:t> </w:t>
            </w:r>
            <w:r>
              <w:rPr>
                <w:sz w:val="24"/>
              </w:rPr>
              <w:t>4.90</w:t>
            </w:r>
          </w:p>
          <w:p>
            <w:pPr>
              <w:pStyle w:val="TableParagraph"/>
              <w:tabs>
                <w:tab w:pos="940" w:val="left" w:leader="none"/>
                <w:tab w:pos="1480" w:val="left" w:leader="none"/>
              </w:tabs>
              <w:spacing w:before="139"/>
              <w:rPr>
                <w:sz w:val="24"/>
              </w:rPr>
            </w:pPr>
            <w:r>
              <w:rPr>
                <w:sz w:val="24"/>
              </w:rPr>
              <w:t>365</w:t>
              <w:tab/>
              <w:t>/</w:t>
              <w:tab/>
              <w:t>4.90</w:t>
            </w:r>
          </w:p>
          <w:p>
            <w:pPr>
              <w:pStyle w:val="TableParagraph"/>
              <w:spacing w:before="137"/>
              <w:rPr>
                <w:sz w:val="24"/>
              </w:rPr>
            </w:pPr>
            <w:r>
              <w:rPr>
                <w:sz w:val="24"/>
              </w:rPr>
              <w:t>74 Days</w:t>
            </w:r>
          </w:p>
        </w:tc>
      </w:tr>
    </w:tbl>
    <w:p>
      <w:pPr>
        <w:pStyle w:val="BodyText"/>
        <w:rPr>
          <w:sz w:val="20"/>
        </w:rPr>
      </w:pPr>
    </w:p>
    <w:p>
      <w:pPr>
        <w:pStyle w:val="BodyText"/>
        <w:rPr>
          <w:sz w:val="20"/>
        </w:rPr>
      </w:pPr>
    </w:p>
    <w:p>
      <w:pPr>
        <w:pStyle w:val="BodyText"/>
        <w:spacing w:before="4"/>
        <w:rPr>
          <w:sz w:val="18"/>
        </w:rPr>
      </w:pPr>
      <w:r>
        <w:rPr/>
        <w:pict>
          <v:group style="position:absolute;margin-left:281.25pt;margin-top:12.500953pt;width:49.35pt;height:49.35pt;mso-position-horizontal-relative:page;mso-position-vertical-relative:paragraph;z-index:-251634688;mso-wrap-distance-left:0;mso-wrap-distance-right:0" coordorigin="5625,250" coordsize="987,987">
            <v:shape style="position:absolute;left:5625;top:250;width:987;height:987" coordorigin="5625,250" coordsize="987,987" path="m6119,250l6046,255,5976,271,5911,296,5850,330,5795,371,5746,420,5705,475,5671,535,5646,601,5630,671,5625,744,5630,816,5646,886,5671,952,5705,1012,5746,1067,5795,1116,5850,1158,5911,1191,5976,1216,6046,1232,6119,1237,6191,1232,6261,1216,6327,1191,6387,1158,6442,1116,6491,1067,6532,1012,6566,952,6591,886,6607,816,6612,744,6607,671,6591,601,6566,535,6532,475,6491,420,6442,371,6387,330,6327,296,6261,271,6191,255,6119,250xe" filled="true" fillcolor="#375f92" stroked="false">
              <v:path arrowok="t"/>
              <v:fill type="solid"/>
            </v:shape>
            <v:shape style="position:absolute;left:5769;top:466;width:699;height:555" type="#_x0000_t75" stroked="false">
              <v:imagedata r:id="rId10" o:title=""/>
            </v:shape>
            <v:shape style="position:absolute;left:5625;top:250;width:987;height:987" type="#_x0000_t202" filled="false" stroked="false">
              <v:textbox inset="0,0,0,0">
                <w:txbxContent>
                  <w:p>
                    <w:pPr>
                      <w:spacing w:before="315"/>
                      <w:ind w:left="0" w:right="0" w:firstLine="0"/>
                      <w:jc w:val="center"/>
                      <w:rPr>
                        <w:rFonts w:ascii="Arial"/>
                        <w:b/>
                        <w:sz w:val="32"/>
                      </w:rPr>
                    </w:pPr>
                    <w:r>
                      <w:rPr>
                        <w:rFonts w:ascii="Arial"/>
                        <w:b/>
                        <w:color w:val="FFFFFF"/>
                        <w:w w:val="99"/>
                        <w:sz w:val="32"/>
                      </w:rPr>
                      <w:t>9</w:t>
                    </w:r>
                  </w:p>
                </w:txbxContent>
              </v:textbox>
              <w10:wrap type="none"/>
            </v:shape>
            <w10:wrap type="topAndBottom"/>
          </v:group>
        </w:pict>
      </w:r>
    </w:p>
    <w:p>
      <w:pPr>
        <w:spacing w:after="0"/>
        <w:rPr>
          <w:sz w:val="18"/>
        </w:rPr>
        <w:sectPr>
          <w:pgSz w:w="12240" w:h="15840"/>
          <w:pgMar w:top="1360" w:bottom="0" w:left="1220" w:right="1220"/>
        </w:sectPr>
      </w:pPr>
    </w:p>
    <w:p>
      <w:pPr>
        <w:pStyle w:val="BodyText"/>
        <w:spacing w:line="360" w:lineRule="auto" w:before="74"/>
        <w:ind w:left="220" w:right="215"/>
        <w:jc w:val="both"/>
      </w:pPr>
      <w:r>
        <w:rPr/>
        <w:pict>
          <v:group style="position:absolute;margin-left:24pt;margin-top:24pt;width:564.15pt;height:768.15pt;mso-position-horizontal-relative:page;mso-position-vertical-relative:page;z-index:-253575168"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t>The above calculation suggests the ability of the company to turn its inventory on the basis of sales on day basis (Fridson &amp; Alvarez, 2002). The results are not as good as it desired to be and also they are not at a faster pace as well. The reduction to the waste is important for the retailing industries which should be effective in the case of this company. So it is recommended that the company should pay more attention towards its efficiency level as it needs to maintain a faster rate regarding this ratio. The possible reason is that the company’s greater exposure to the non- sporting items impacted the levels of stock (Flower &amp; Ebbers, 2002).</w:t>
      </w:r>
    </w:p>
    <w:p>
      <w:pPr>
        <w:pStyle w:val="Heading1"/>
        <w:spacing w:before="206"/>
        <w:jc w:val="both"/>
      </w:pPr>
      <w:r>
        <w:rPr/>
        <w:t>Dividend yield</w:t>
      </w:r>
    </w:p>
    <w:p>
      <w:pPr>
        <w:pStyle w:val="BodyText"/>
        <w:rPr>
          <w:b/>
          <w:sz w:val="29"/>
        </w:rPr>
      </w:pPr>
    </w:p>
    <w:p>
      <w:pPr>
        <w:pStyle w:val="BodyText"/>
        <w:spacing w:line="360" w:lineRule="auto" w:before="1"/>
        <w:ind w:left="220" w:right="218"/>
        <w:jc w:val="both"/>
      </w:pPr>
      <w:r>
        <w:rPr/>
        <w:t>Dividend Yield of the company sports direct is 2.21 % for the current fiscal year. Dividend yield helps to provide a clear and precise idea about the company revenue generation and their required distribution among the different stakeholder. The dividend yield of the company is more than 1. Dividend yield is considered as a measure of investor return.</w:t>
      </w:r>
    </w:p>
    <w:p>
      <w:pPr>
        <w:pStyle w:val="BodyText"/>
        <w:rPr>
          <w:sz w:val="26"/>
        </w:rPr>
      </w:pPr>
    </w:p>
    <w:p>
      <w:pPr>
        <w:pStyle w:val="BodyText"/>
        <w:rPr>
          <w:sz w:val="26"/>
        </w:rPr>
      </w:pPr>
    </w:p>
    <w:p>
      <w:pPr>
        <w:pStyle w:val="BodyText"/>
        <w:rPr>
          <w:sz w:val="26"/>
        </w:rPr>
      </w:pPr>
    </w:p>
    <w:p>
      <w:pPr>
        <w:pStyle w:val="Heading1"/>
        <w:numPr>
          <w:ilvl w:val="0"/>
          <w:numId w:val="2"/>
        </w:numPr>
        <w:tabs>
          <w:tab w:pos="461" w:val="left" w:leader="none"/>
        </w:tabs>
        <w:spacing w:line="240" w:lineRule="auto" w:before="202" w:after="0"/>
        <w:ind w:left="460" w:right="0" w:hanging="241"/>
        <w:jc w:val="left"/>
      </w:pPr>
      <w:bookmarkStart w:name="_bookmark11" w:id="14"/>
      <w:bookmarkEnd w:id="14"/>
      <w:r>
        <w:rPr>
          <w:b w:val="0"/>
        </w:rPr>
      </w:r>
      <w:bookmarkStart w:name="_bookmark11" w:id="15"/>
      <w:bookmarkEnd w:id="15"/>
      <w:r>
        <w:rPr>
          <w:color w:val="365F91"/>
        </w:rPr>
        <w:t>A)</w:t>
      </w:r>
      <w:r>
        <w:rPr>
          <w:color w:val="365F91"/>
        </w:rPr>
        <w:t> Estimation of Value of Stake in the</w:t>
      </w:r>
      <w:r>
        <w:rPr>
          <w:color w:val="365F91"/>
          <w:spacing w:val="-2"/>
        </w:rPr>
        <w:t> </w:t>
      </w:r>
      <w:r>
        <w:rPr>
          <w:color w:val="365F91"/>
        </w:rPr>
        <w:t>Competitor</w:t>
      </w:r>
    </w:p>
    <w:p>
      <w:pPr>
        <w:pStyle w:val="BodyText"/>
        <w:spacing w:before="11"/>
        <w:rPr>
          <w:b/>
          <w:sz w:val="21"/>
        </w:rPr>
      </w:pPr>
    </w:p>
    <w:p>
      <w:pPr>
        <w:pStyle w:val="BodyText"/>
        <w:spacing w:line="360" w:lineRule="auto"/>
        <w:ind w:left="220" w:right="213"/>
        <w:jc w:val="both"/>
      </w:pPr>
      <w:r>
        <w:rPr/>
        <w:t>The nearest rival or the competitor for the company of Sports Direct Plc is the JJB Sports Plc which is based on the same industry as the selected company is in. the roots of the rival company is also in UK (Elliott &amp; Elliott, 2006). The company also falls under the sports industry of retail business, also same as the company that is selected for the report (Horrigan, 2000). The fate of this company is in the bankrupt situation where the shares are suspended and the administrators are called in. according to the report published in the year of 2012 in October, the part of the business of the company is owned by Sport Direct already (Black, 2004). So the centre of attraction by Sports direct regarding the competitor aspect will always be on acquiring this company and taking control of the entire operation. </w:t>
      </w:r>
      <w:r>
        <w:rPr>
          <w:spacing w:val="-3"/>
        </w:rPr>
        <w:t>It </w:t>
      </w:r>
      <w:r>
        <w:rPr/>
        <w:t>is also give the added supplement to the expansion plan of the current company (Morley, 2004). Monitoring on the constantly approaching towards the bankruptcy of JJB Sports, Sports Direct Plc is having the thought of purchasing their shares at a percentage of 10%. So it is needed to be figured out, the value of that 10% stake in the competitor, i.e. JJB Sports Plc. On the basis of that above identified aspect, it is necessary to estimate the value on the basis of proper calculations (Weygandt,</w:t>
      </w:r>
      <w:r>
        <w:rPr>
          <w:spacing w:val="-5"/>
        </w:rPr>
        <w:t> </w:t>
      </w:r>
      <w:r>
        <w:rPr/>
        <w:t>2009).</w:t>
      </w:r>
    </w:p>
    <w:p>
      <w:pPr>
        <w:pStyle w:val="BodyText"/>
        <w:spacing w:before="3"/>
        <w:rPr>
          <w:sz w:val="18"/>
        </w:rPr>
      </w:pPr>
      <w:r>
        <w:rPr/>
        <w:pict>
          <v:group style="position:absolute;margin-left:281.25pt;margin-top:12.451539pt;width:49.35pt;height:49.35pt;mso-position-horizontal-relative:page;mso-position-vertical-relative:paragraph;z-index:-251631616;mso-wrap-distance-left:0;mso-wrap-distance-right:0" coordorigin="5625,249" coordsize="987,987">
            <v:shape style="position:absolute;left:5625;top:249;width:987;height:987" coordorigin="5625,249" coordsize="987,987" path="m6119,249l6046,254,5976,270,5911,295,5850,329,5795,370,5746,419,5705,474,5671,534,5646,600,5630,670,5625,743,5630,815,5646,885,5671,951,5705,1011,5746,1066,5795,1115,5850,1157,5911,1190,5976,1215,6046,1231,6119,1236,6191,1231,6261,1215,6327,1190,6387,1157,6442,1115,6491,1066,6532,1011,6566,951,6591,885,6607,815,6612,743,6607,670,6591,600,6566,534,6532,474,6491,419,6442,370,6387,329,6327,295,6261,270,6191,254,6119,249xe" filled="true" fillcolor="#375f92" stroked="false">
              <v:path arrowok="t"/>
              <v:fill type="solid"/>
            </v:shape>
            <v:shape style="position:absolute;left:5769;top:465;width:699;height:555" type="#_x0000_t75" stroked="false">
              <v:imagedata r:id="rId10" o:title=""/>
            </v:shape>
            <v:shape style="position:absolute;left:5625;top:249;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10</w:t>
                    </w:r>
                  </w:p>
                </w:txbxContent>
              </v:textbox>
              <w10:wrap type="none"/>
            </v:shape>
            <w10:wrap type="topAndBottom"/>
          </v:group>
        </w:pict>
      </w:r>
    </w:p>
    <w:p>
      <w:pPr>
        <w:spacing w:after="0"/>
        <w:rPr>
          <w:sz w:val="18"/>
        </w:rPr>
        <w:sectPr>
          <w:pgSz w:w="12240" w:h="15840"/>
          <w:pgMar w:top="1360" w:bottom="0" w:left="1220" w:right="1220"/>
        </w:sectPr>
      </w:pPr>
    </w:p>
    <w:p>
      <w:pPr>
        <w:pStyle w:val="BodyText"/>
        <w:spacing w:line="360" w:lineRule="auto" w:before="74"/>
        <w:ind w:left="220"/>
      </w:pPr>
      <w:r>
        <w:rPr/>
        <w:pict>
          <v:group style="position:absolute;margin-left:24pt;margin-top:24pt;width:564.15pt;height:768.15pt;mso-position-horizontal-relative:page;mso-position-vertical-relative:page;z-index:-253572096"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t>Stake Holding: the stake holding figure of the company for the given year 2011, 2012 and 2013 clearly signifies that the stakeholder value is increasing with the increase in the year.</w:t>
      </w:r>
    </w:p>
    <w:p>
      <w:pPr>
        <w:pStyle w:val="BodyText"/>
        <w:spacing w:before="10"/>
        <w:rPr>
          <w:sz w:val="17"/>
        </w:rPr>
      </w:pPr>
    </w:p>
    <w:tbl>
      <w:tblPr>
        <w:tblW w:w="0" w:type="auto"/>
        <w:jc w:val="left"/>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7"/>
        <w:gridCol w:w="1551"/>
        <w:gridCol w:w="1551"/>
        <w:gridCol w:w="1550"/>
      </w:tblGrid>
      <w:tr>
        <w:trPr>
          <w:trHeight w:val="362" w:hRule="atLeast"/>
        </w:trPr>
        <w:tc>
          <w:tcPr>
            <w:tcW w:w="4587" w:type="dxa"/>
          </w:tcPr>
          <w:p>
            <w:pPr>
              <w:pStyle w:val="TableParagraph"/>
              <w:spacing w:line="259" w:lineRule="exact" w:before="83"/>
              <w:rPr>
                <w:b/>
                <w:sz w:val="24"/>
              </w:rPr>
            </w:pPr>
            <w:r>
              <w:rPr>
                <w:b/>
                <w:sz w:val="24"/>
              </w:rPr>
              <w:t>Year</w:t>
            </w:r>
          </w:p>
        </w:tc>
        <w:tc>
          <w:tcPr>
            <w:tcW w:w="1551" w:type="dxa"/>
          </w:tcPr>
          <w:p>
            <w:pPr>
              <w:pStyle w:val="TableParagraph"/>
              <w:spacing w:line="259" w:lineRule="exact" w:before="83"/>
              <w:ind w:left="0" w:right="96"/>
              <w:jc w:val="right"/>
              <w:rPr>
                <w:b/>
                <w:sz w:val="24"/>
              </w:rPr>
            </w:pPr>
            <w:r>
              <w:rPr>
                <w:b/>
                <w:sz w:val="24"/>
              </w:rPr>
              <w:t>2011</w:t>
            </w:r>
          </w:p>
        </w:tc>
        <w:tc>
          <w:tcPr>
            <w:tcW w:w="1551" w:type="dxa"/>
          </w:tcPr>
          <w:p>
            <w:pPr>
              <w:pStyle w:val="TableParagraph"/>
              <w:spacing w:line="259" w:lineRule="exact" w:before="83"/>
              <w:ind w:left="0" w:right="97"/>
              <w:jc w:val="right"/>
              <w:rPr>
                <w:b/>
                <w:sz w:val="24"/>
              </w:rPr>
            </w:pPr>
            <w:r>
              <w:rPr>
                <w:b/>
                <w:sz w:val="24"/>
              </w:rPr>
              <w:t>2012</w:t>
            </w:r>
          </w:p>
        </w:tc>
        <w:tc>
          <w:tcPr>
            <w:tcW w:w="1550" w:type="dxa"/>
          </w:tcPr>
          <w:p>
            <w:pPr>
              <w:pStyle w:val="TableParagraph"/>
              <w:spacing w:line="259" w:lineRule="exact" w:before="83"/>
              <w:ind w:left="0" w:right="96"/>
              <w:jc w:val="right"/>
              <w:rPr>
                <w:b/>
                <w:sz w:val="24"/>
              </w:rPr>
            </w:pPr>
            <w:r>
              <w:rPr>
                <w:b/>
                <w:sz w:val="24"/>
              </w:rPr>
              <w:t>2013</w:t>
            </w:r>
          </w:p>
        </w:tc>
      </w:tr>
      <w:tr>
        <w:trPr>
          <w:trHeight w:val="361" w:hRule="atLeast"/>
        </w:trPr>
        <w:tc>
          <w:tcPr>
            <w:tcW w:w="4587" w:type="dxa"/>
          </w:tcPr>
          <w:p>
            <w:pPr>
              <w:pStyle w:val="TableParagraph"/>
              <w:spacing w:line="264" w:lineRule="exact" w:before="78"/>
              <w:rPr>
                <w:sz w:val="24"/>
              </w:rPr>
            </w:pPr>
            <w:r>
              <w:rPr>
                <w:sz w:val="24"/>
              </w:rPr>
              <w:t>Total Stake Holding</w:t>
            </w:r>
          </w:p>
        </w:tc>
        <w:tc>
          <w:tcPr>
            <w:tcW w:w="1551" w:type="dxa"/>
          </w:tcPr>
          <w:p>
            <w:pPr>
              <w:pStyle w:val="TableParagraph"/>
              <w:spacing w:line="264" w:lineRule="exact" w:before="78"/>
              <w:ind w:left="0" w:right="96"/>
              <w:jc w:val="right"/>
              <w:rPr>
                <w:sz w:val="24"/>
              </w:rPr>
            </w:pPr>
            <w:r>
              <w:rPr>
                <w:sz w:val="24"/>
              </w:rPr>
              <w:t>36.13</w:t>
            </w:r>
          </w:p>
        </w:tc>
        <w:tc>
          <w:tcPr>
            <w:tcW w:w="1551" w:type="dxa"/>
          </w:tcPr>
          <w:p>
            <w:pPr>
              <w:pStyle w:val="TableParagraph"/>
              <w:spacing w:line="264" w:lineRule="exact" w:before="78"/>
              <w:ind w:left="0" w:right="97"/>
              <w:jc w:val="right"/>
              <w:rPr>
                <w:sz w:val="24"/>
              </w:rPr>
            </w:pPr>
            <w:r>
              <w:rPr>
                <w:sz w:val="24"/>
              </w:rPr>
              <w:t>41.7</w:t>
            </w:r>
          </w:p>
        </w:tc>
        <w:tc>
          <w:tcPr>
            <w:tcW w:w="1550" w:type="dxa"/>
          </w:tcPr>
          <w:p>
            <w:pPr>
              <w:pStyle w:val="TableParagraph"/>
              <w:spacing w:line="264" w:lineRule="exact" w:before="78"/>
              <w:ind w:left="0" w:right="96"/>
              <w:jc w:val="right"/>
              <w:rPr>
                <w:sz w:val="24"/>
              </w:rPr>
            </w:pPr>
            <w:r>
              <w:rPr>
                <w:sz w:val="24"/>
              </w:rPr>
              <w:t>45.78</w:t>
            </w:r>
          </w:p>
        </w:tc>
      </w:tr>
    </w:tbl>
    <w:p>
      <w:pPr>
        <w:pStyle w:val="BodyText"/>
        <w:rPr>
          <w:sz w:val="26"/>
        </w:rPr>
      </w:pPr>
    </w:p>
    <w:p>
      <w:pPr>
        <w:pStyle w:val="BodyText"/>
        <w:spacing w:before="4"/>
        <w:rPr>
          <w:sz w:val="37"/>
        </w:rPr>
      </w:pPr>
    </w:p>
    <w:p>
      <w:pPr>
        <w:pStyle w:val="BodyText"/>
        <w:spacing w:line="360" w:lineRule="auto"/>
        <w:ind w:left="220"/>
      </w:pPr>
      <w:r>
        <w:rPr/>
        <w:t>According to the records obtained from the sources, Sainsbury is currently having 1932 million shares in issue and the share price is determined to be £2.36.</w:t>
      </w:r>
    </w:p>
    <w:p>
      <w:pPr>
        <w:pStyle w:val="BodyText"/>
        <w:spacing w:line="360" w:lineRule="auto" w:before="202"/>
        <w:ind w:left="220" w:right="215"/>
      </w:pPr>
      <w:r>
        <w:rPr/>
        <w:t>So if the Sports direct is having the thought of purchasing 10% stake of the mentioned competitor, the valuation of that stake will be,</w:t>
      </w:r>
    </w:p>
    <w:p>
      <w:pPr>
        <w:pStyle w:val="BodyText"/>
        <w:spacing w:before="200"/>
        <w:ind w:left="220"/>
      </w:pPr>
      <w:r>
        <w:rPr/>
        <w:t>(10% of 1932million) shares x 2.36 = £4,558.24 million.</w:t>
      </w:r>
    </w:p>
    <w:p>
      <w:pPr>
        <w:pStyle w:val="BodyText"/>
        <w:spacing w:before="4"/>
        <w:rPr>
          <w:sz w:val="29"/>
        </w:rPr>
      </w:pPr>
    </w:p>
    <w:p>
      <w:pPr>
        <w:pStyle w:val="BodyText"/>
        <w:spacing w:line="360" w:lineRule="auto"/>
        <w:ind w:left="220" w:right="218"/>
        <w:jc w:val="both"/>
      </w:pPr>
      <w:r>
        <w:rPr/>
        <w:t>The valuation of the stake also changes on the basis of the time period of the holding. The above calculation is estimated on the basis of the current time period, as if Sports direct would purchase the stake at this recent time (Flower &amp; Ebbers, 2002).</w:t>
      </w:r>
    </w:p>
    <w:p>
      <w:pPr>
        <w:pStyle w:val="BodyText"/>
        <w:rPr>
          <w:sz w:val="26"/>
        </w:rPr>
      </w:pPr>
    </w:p>
    <w:p>
      <w:pPr>
        <w:pStyle w:val="Heading1"/>
        <w:numPr>
          <w:ilvl w:val="0"/>
          <w:numId w:val="3"/>
        </w:numPr>
        <w:tabs>
          <w:tab w:pos="461" w:val="left" w:leader="none"/>
        </w:tabs>
        <w:spacing w:line="240" w:lineRule="auto" w:before="188" w:after="0"/>
        <w:ind w:left="460" w:right="0" w:hanging="241"/>
        <w:jc w:val="left"/>
      </w:pPr>
      <w:bookmarkStart w:name="_bookmark12" w:id="16"/>
      <w:bookmarkEnd w:id="16"/>
      <w:r>
        <w:rPr>
          <w:b w:val="0"/>
        </w:rPr>
      </w:r>
      <w:bookmarkStart w:name="_bookmark12" w:id="17"/>
      <w:bookmarkEnd w:id="17"/>
      <w:r>
        <w:rPr>
          <w:color w:val="365F91"/>
        </w:rPr>
        <w:t>B)</w:t>
      </w:r>
      <w:r>
        <w:rPr>
          <w:color w:val="365F91"/>
        </w:rPr>
        <w:t> Conclusion &amp; Recommendation</w:t>
      </w:r>
    </w:p>
    <w:p>
      <w:pPr>
        <w:pStyle w:val="BodyText"/>
        <w:spacing w:before="10"/>
        <w:rPr>
          <w:b/>
          <w:sz w:val="21"/>
        </w:rPr>
      </w:pPr>
    </w:p>
    <w:p>
      <w:pPr>
        <w:pStyle w:val="BodyText"/>
        <w:spacing w:line="360" w:lineRule="auto" w:before="1"/>
        <w:ind w:left="220" w:right="213"/>
        <w:jc w:val="both"/>
      </w:pPr>
      <w:r>
        <w:rPr/>
        <w:t>Considering the above analysis of the ratios, it is appeared to be that the company of Sports Direct is in a favorable financial position and the investors will love to invest on the financial areas of the company. Out of the analysis, it is observed that the company is consistently maintaining the high level of margin which is impacted as the greater exposure of the company’s decision with the business outside the country and also the significant online presence (Fridson &amp; Alvarez, 2002). The company’s success can be evident as it takes the advantage from the economic recovery of the country. The company is also planning to do business outside the grocery market which will also provide it the added benefits comparing to the other competitors in the market. After the analysis, the growth factor for the company is evident and it is reflected in their ways of doing the business</w:t>
      </w:r>
      <w:r>
        <w:rPr>
          <w:spacing w:val="-4"/>
        </w:rPr>
        <w:t> </w:t>
      </w:r>
      <w:r>
        <w:rPr/>
        <w:t>operation.</w:t>
      </w:r>
    </w:p>
    <w:p>
      <w:pPr>
        <w:pStyle w:val="BodyText"/>
        <w:spacing w:line="360" w:lineRule="auto" w:before="200"/>
        <w:ind w:left="220" w:right="215"/>
        <w:jc w:val="both"/>
      </w:pPr>
      <w:r>
        <w:rPr/>
        <w:t>Considering the investment viewpoint, the investor will look for the options of returns, the dividend payout and the dividend growth which can be compared among the three years basis for</w:t>
      </w:r>
    </w:p>
    <w:p>
      <w:pPr>
        <w:pStyle w:val="BodyText"/>
        <w:rPr>
          <w:sz w:val="20"/>
        </w:rPr>
      </w:pPr>
    </w:p>
    <w:p>
      <w:pPr>
        <w:pStyle w:val="BodyText"/>
        <w:rPr>
          <w:sz w:val="14"/>
        </w:rPr>
      </w:pPr>
      <w:r>
        <w:rPr/>
        <w:pict>
          <v:group style="position:absolute;margin-left:281.25pt;margin-top:10.007505pt;width:49.35pt;height:49.35pt;mso-position-horizontal-relative:page;mso-position-vertical-relative:paragraph;z-index:-251628544;mso-wrap-distance-left:0;mso-wrap-distance-right:0" coordorigin="5625,200" coordsize="987,987">
            <v:shape style="position:absolute;left:5625;top:200;width:987;height:987" coordorigin="5625,200" coordsize="987,987" path="m6119,200l6046,206,5976,221,5911,246,5850,280,5795,321,5746,370,5705,425,5671,486,5646,551,5630,621,5625,694,5630,767,5646,836,5671,902,5705,962,5746,1017,5795,1066,5850,1108,5911,1141,5976,1166,6046,1182,6119,1187,6191,1182,6261,1166,6327,1141,6387,1108,6442,1066,6491,1017,6532,962,6566,902,6591,836,6607,767,6612,694,6607,621,6591,551,6566,486,6532,425,6491,370,6442,321,6387,280,6327,246,6261,221,6191,206,6119,200xe" filled="true" fillcolor="#375f92" stroked="false">
              <v:path arrowok="t"/>
              <v:fill type="solid"/>
            </v:shape>
            <v:shape style="position:absolute;left:5769;top:416;width:699;height:555" type="#_x0000_t75" stroked="false">
              <v:imagedata r:id="rId10" o:title=""/>
            </v:shape>
            <v:shape style="position:absolute;left:5625;top:200;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11</w:t>
                    </w:r>
                  </w:p>
                </w:txbxContent>
              </v:textbox>
              <w10:wrap type="none"/>
            </v:shape>
            <w10:wrap type="topAndBottom"/>
          </v:group>
        </w:pict>
      </w:r>
    </w:p>
    <w:p>
      <w:pPr>
        <w:spacing w:after="0"/>
        <w:rPr>
          <w:sz w:val="14"/>
        </w:rPr>
        <w:sectPr>
          <w:pgSz w:w="12240" w:h="15840"/>
          <w:pgMar w:top="1360" w:bottom="0" w:left="1220" w:right="1220"/>
        </w:sectPr>
      </w:pPr>
    </w:p>
    <w:p>
      <w:pPr>
        <w:pStyle w:val="BodyText"/>
        <w:spacing w:line="360" w:lineRule="auto" w:before="74"/>
        <w:ind w:left="220" w:right="218"/>
        <w:jc w:val="both"/>
      </w:pPr>
      <w:r>
        <w:rPr/>
        <w:pict>
          <v:group style="position:absolute;margin-left:24pt;margin-top:24pt;width:564.15pt;height:768.15pt;mso-position-horizontal-relative:page;mso-position-vertical-relative:page;z-index:-253569024"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t>the company. Analysis on the dividend will suggest that the shares in the company are going down at a 32.41% in the current time period. The company should look into the matter of earning per shares, earning in the form of dividends and the payout ratio as well to improve such situation (Bierman and Smidt,2009).</w:t>
      </w:r>
    </w:p>
    <w:p>
      <w:pPr>
        <w:pStyle w:val="BodyText"/>
        <w:spacing w:line="360" w:lineRule="auto" w:before="200"/>
        <w:ind w:left="220" w:right="216"/>
        <w:jc w:val="both"/>
      </w:pPr>
      <w:r>
        <w:rPr/>
        <w:t>The extensive offering in both market of UK and internationally has favored a lot to Sports Direct Plc, so it is recommended that the company should look for the various other opportunities to maintain the factor and also to be able to increase it stimulatingly (Wild, et al., 2001).</w:t>
      </w:r>
    </w:p>
    <w:p>
      <w:pPr>
        <w:pStyle w:val="BodyText"/>
        <w:spacing w:line="360" w:lineRule="auto" w:before="202"/>
        <w:ind w:left="220" w:right="215"/>
        <w:jc w:val="both"/>
      </w:pPr>
      <w:r>
        <w:rPr/>
        <w:t>Based on the discussion, the company is recommended that it should carry on the planning behind the process of extending the business by continuing the European operations and maximizing the availability of different brands (Bradford, 2011). </w:t>
      </w:r>
      <w:r>
        <w:rPr>
          <w:spacing w:val="-3"/>
        </w:rPr>
        <w:t>It </w:t>
      </w:r>
      <w:r>
        <w:rPr/>
        <w:t>can able to raise the margin of the company after the overall UK margin was hit since the FY2013 results cause a downfall of 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r>
        <w:rPr/>
        <w:pict>
          <v:group style="position:absolute;margin-left:281.25pt;margin-top:17.951149pt;width:49.35pt;height:49.35pt;mso-position-horizontal-relative:page;mso-position-vertical-relative:paragraph;z-index:-251625472;mso-wrap-distance-left:0;mso-wrap-distance-right:0" coordorigin="5625,359" coordsize="987,987">
            <v:shape style="position:absolute;left:5625;top:359;width:987;height:987" coordorigin="5625,359" coordsize="987,987" path="m6119,359l6046,364,5976,380,5911,405,5850,439,5795,480,5746,529,5705,584,5671,644,5646,710,5630,780,5625,853,5630,925,5646,995,5671,1061,5705,1121,5746,1176,5795,1225,5850,1267,5911,1300,5976,1325,6046,1341,6119,1346,6191,1341,6261,1325,6327,1300,6387,1267,6442,1225,6491,1176,6532,1121,6566,1061,6591,995,6607,925,6612,853,6607,780,6591,710,6566,644,6532,584,6491,529,6442,480,6387,439,6327,405,6261,380,6191,364,6119,359xe" filled="true" fillcolor="#375f92" stroked="false">
              <v:path arrowok="t"/>
              <v:fill type="solid"/>
            </v:shape>
            <v:shape style="position:absolute;left:5769;top:575;width:699;height:555" type="#_x0000_t75" stroked="false">
              <v:imagedata r:id="rId10" o:title=""/>
            </v:shape>
            <v:shape style="position:absolute;left:5625;top:359;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12</w:t>
                    </w:r>
                  </w:p>
                </w:txbxContent>
              </v:textbox>
              <w10:wrap type="none"/>
            </v:shape>
            <w10:wrap type="topAndBottom"/>
          </v:group>
        </w:pict>
      </w:r>
    </w:p>
    <w:p>
      <w:pPr>
        <w:spacing w:after="0"/>
        <w:rPr>
          <w:sz w:val="27"/>
        </w:rPr>
        <w:sectPr>
          <w:pgSz w:w="12240" w:h="15840"/>
          <w:pgMar w:top="1360" w:bottom="0" w:left="1220" w:right="1220"/>
        </w:sectPr>
      </w:pPr>
    </w:p>
    <w:p>
      <w:pPr>
        <w:pStyle w:val="Heading1"/>
      </w:pPr>
      <w:r>
        <w:rPr/>
        <w:pict>
          <v:group style="position:absolute;margin-left:24pt;margin-top:24pt;width:564.15pt;height:768.15pt;mso-position-horizontal-relative:page;mso-position-vertical-relative:page;z-index:-253565952"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bookmarkStart w:name="_bookmark13" w:id="18"/>
      <w:bookmarkEnd w:id="18"/>
      <w:r>
        <w:rPr>
          <w:b w:val="0"/>
        </w:rPr>
      </w:r>
      <w:r>
        <w:rPr>
          <w:color w:val="365F91"/>
        </w:rPr>
        <w:t>Bibliography:</w:t>
      </w:r>
    </w:p>
    <w:p>
      <w:pPr>
        <w:pStyle w:val="BodyText"/>
        <w:spacing w:before="11"/>
        <w:rPr>
          <w:b/>
          <w:sz w:val="21"/>
        </w:rPr>
      </w:pPr>
    </w:p>
    <w:p>
      <w:pPr>
        <w:pStyle w:val="ListParagraph"/>
        <w:numPr>
          <w:ilvl w:val="1"/>
          <w:numId w:val="3"/>
        </w:numPr>
        <w:tabs>
          <w:tab w:pos="941" w:val="left" w:leader="none"/>
        </w:tabs>
        <w:spacing w:line="360" w:lineRule="auto" w:before="0" w:after="0"/>
        <w:ind w:left="940" w:right="223" w:hanging="360"/>
        <w:jc w:val="both"/>
        <w:rPr>
          <w:sz w:val="24"/>
        </w:rPr>
      </w:pPr>
      <w:r>
        <w:rPr>
          <w:sz w:val="24"/>
        </w:rPr>
        <w:t>Altman, E. (2009). Financial ratios, discriminant analysis and the prediction of corporate bankruptcy. </w:t>
      </w:r>
      <w:r>
        <w:rPr>
          <w:i/>
          <w:sz w:val="24"/>
        </w:rPr>
        <w:t>The Journal Of Finance</w:t>
      </w:r>
      <w:r>
        <w:rPr>
          <w:sz w:val="24"/>
        </w:rPr>
        <w:t>, </w:t>
      </w:r>
      <w:r>
        <w:rPr>
          <w:i/>
          <w:sz w:val="24"/>
        </w:rPr>
        <w:t>23</w:t>
      </w:r>
      <w:r>
        <w:rPr>
          <w:sz w:val="24"/>
        </w:rPr>
        <w:t>(4), 589--609.</w:t>
      </w:r>
    </w:p>
    <w:p>
      <w:pPr>
        <w:pStyle w:val="ListParagraph"/>
        <w:numPr>
          <w:ilvl w:val="1"/>
          <w:numId w:val="3"/>
        </w:numPr>
        <w:tabs>
          <w:tab w:pos="941" w:val="left" w:leader="none"/>
        </w:tabs>
        <w:spacing w:line="360" w:lineRule="auto" w:before="0" w:after="0"/>
        <w:ind w:left="940" w:right="217" w:hanging="360"/>
        <w:jc w:val="both"/>
        <w:rPr>
          <w:sz w:val="24"/>
        </w:rPr>
      </w:pPr>
      <w:r>
        <w:rPr>
          <w:sz w:val="24"/>
        </w:rPr>
        <w:t>Beaver, W. (2006). Financial ratios as predictors of failure. </w:t>
      </w:r>
      <w:r>
        <w:rPr>
          <w:i/>
          <w:sz w:val="24"/>
        </w:rPr>
        <w:t>Journal Of Accounting </w:t>
      </w:r>
      <w:r>
        <w:rPr>
          <w:i/>
          <w:sz w:val="24"/>
        </w:rPr>
        <w:t>Research</w:t>
      </w:r>
      <w:r>
        <w:rPr>
          <w:sz w:val="24"/>
        </w:rPr>
        <w:t>,</w:t>
      </w:r>
      <w:r>
        <w:rPr>
          <w:spacing w:val="-1"/>
          <w:sz w:val="24"/>
        </w:rPr>
        <w:t> </w:t>
      </w:r>
      <w:r>
        <w:rPr>
          <w:sz w:val="24"/>
        </w:rPr>
        <w:t>71--111.</w:t>
      </w:r>
    </w:p>
    <w:p>
      <w:pPr>
        <w:pStyle w:val="ListParagraph"/>
        <w:numPr>
          <w:ilvl w:val="1"/>
          <w:numId w:val="3"/>
        </w:numPr>
        <w:tabs>
          <w:tab w:pos="941" w:val="left" w:leader="none"/>
        </w:tabs>
        <w:spacing w:line="360" w:lineRule="auto" w:before="0" w:after="0"/>
        <w:ind w:left="940" w:right="214" w:hanging="360"/>
        <w:jc w:val="both"/>
        <w:rPr>
          <w:sz w:val="24"/>
        </w:rPr>
      </w:pPr>
      <w:r>
        <w:rPr>
          <w:sz w:val="24"/>
        </w:rPr>
        <w:t>Beaver, W. (2008). Market prices, financial ratios, and the prediction of failure. </w:t>
      </w:r>
      <w:r>
        <w:rPr>
          <w:i/>
          <w:sz w:val="24"/>
        </w:rPr>
        <w:t>Journal </w:t>
      </w:r>
      <w:r>
        <w:rPr>
          <w:i/>
          <w:sz w:val="24"/>
        </w:rPr>
        <w:t>Of Accounting Research</w:t>
      </w:r>
      <w:r>
        <w:rPr>
          <w:sz w:val="24"/>
        </w:rPr>
        <w:t>,</w:t>
      </w:r>
      <w:r>
        <w:rPr>
          <w:spacing w:val="1"/>
          <w:sz w:val="24"/>
        </w:rPr>
        <w:t> </w:t>
      </w:r>
      <w:r>
        <w:rPr>
          <w:sz w:val="24"/>
        </w:rPr>
        <w:t>179--192.</w:t>
      </w:r>
    </w:p>
    <w:p>
      <w:pPr>
        <w:pStyle w:val="ListParagraph"/>
        <w:numPr>
          <w:ilvl w:val="1"/>
          <w:numId w:val="3"/>
        </w:numPr>
        <w:tabs>
          <w:tab w:pos="941" w:val="left" w:leader="none"/>
        </w:tabs>
        <w:spacing w:line="362" w:lineRule="auto" w:before="0" w:after="0"/>
        <w:ind w:left="940" w:right="217" w:hanging="360"/>
        <w:jc w:val="both"/>
        <w:rPr>
          <w:sz w:val="24"/>
        </w:rPr>
      </w:pPr>
      <w:r>
        <w:rPr>
          <w:sz w:val="24"/>
        </w:rPr>
        <w:t>Bierman, B. and Smidt, S. (2009) </w:t>
      </w:r>
      <w:r>
        <w:rPr>
          <w:i/>
          <w:sz w:val="24"/>
        </w:rPr>
        <w:t>Financial Management for Decision Making - Page </w:t>
      </w:r>
      <w:r>
        <w:rPr>
          <w:i/>
          <w:sz w:val="24"/>
        </w:rPr>
        <w:t>622</w:t>
      </w:r>
      <w:r>
        <w:rPr>
          <w:sz w:val="24"/>
        </w:rPr>
        <w:t>, 5</w:t>
      </w:r>
      <w:r>
        <w:rPr>
          <w:sz w:val="24"/>
          <w:vertAlign w:val="superscript"/>
        </w:rPr>
        <w:t>th</w:t>
      </w:r>
      <w:r>
        <w:rPr>
          <w:sz w:val="24"/>
          <w:vertAlign w:val="baseline"/>
        </w:rPr>
        <w:t> ed. Mason: South-Western Cengage Learning.</w:t>
      </w:r>
    </w:p>
    <w:p>
      <w:pPr>
        <w:pStyle w:val="ListParagraph"/>
        <w:numPr>
          <w:ilvl w:val="1"/>
          <w:numId w:val="3"/>
        </w:numPr>
        <w:tabs>
          <w:tab w:pos="941" w:val="left" w:leader="none"/>
        </w:tabs>
        <w:spacing w:line="360" w:lineRule="auto" w:before="0" w:after="0"/>
        <w:ind w:left="940" w:right="219" w:hanging="360"/>
        <w:jc w:val="both"/>
        <w:rPr>
          <w:sz w:val="24"/>
        </w:rPr>
      </w:pPr>
      <w:r>
        <w:rPr>
          <w:sz w:val="24"/>
        </w:rPr>
        <w:t>Biglova, A., Javsi'c, T., Rachev, S., &amp; Fabozzi, F. (2004). Profitability of momentum strategies: application of novel risk/return ratio stock selection criteria. </w:t>
      </w:r>
      <w:r>
        <w:rPr>
          <w:i/>
          <w:sz w:val="24"/>
        </w:rPr>
        <w:t>Investment </w:t>
      </w:r>
      <w:r>
        <w:rPr>
          <w:i/>
          <w:sz w:val="24"/>
        </w:rPr>
        <w:t>Management And Financial Innovations</w:t>
      </w:r>
      <w:r>
        <w:rPr>
          <w:sz w:val="24"/>
        </w:rPr>
        <w:t>, </w:t>
      </w:r>
      <w:r>
        <w:rPr>
          <w:i/>
          <w:sz w:val="24"/>
        </w:rPr>
        <w:t>4</w:t>
      </w:r>
      <w:r>
        <w:rPr>
          <w:sz w:val="24"/>
        </w:rPr>
        <w:t>,</w:t>
      </w:r>
      <w:r>
        <w:rPr>
          <w:spacing w:val="-1"/>
          <w:sz w:val="24"/>
        </w:rPr>
        <w:t> </w:t>
      </w:r>
      <w:r>
        <w:rPr>
          <w:sz w:val="24"/>
        </w:rPr>
        <w:t>48--62.</w:t>
      </w:r>
    </w:p>
    <w:p>
      <w:pPr>
        <w:pStyle w:val="ListParagraph"/>
        <w:numPr>
          <w:ilvl w:val="1"/>
          <w:numId w:val="3"/>
        </w:numPr>
        <w:tabs>
          <w:tab w:pos="941" w:val="left" w:leader="none"/>
        </w:tabs>
        <w:spacing w:line="240" w:lineRule="auto" w:before="0" w:after="0"/>
        <w:ind w:left="940" w:right="0" w:hanging="361"/>
        <w:jc w:val="both"/>
        <w:rPr>
          <w:sz w:val="24"/>
        </w:rPr>
      </w:pPr>
      <w:r>
        <w:rPr>
          <w:sz w:val="24"/>
        </w:rPr>
        <w:t>Black, A. (2004). </w:t>
      </w:r>
      <w:r>
        <w:rPr>
          <w:i/>
          <w:sz w:val="24"/>
        </w:rPr>
        <w:t>Questions of value</w:t>
      </w:r>
      <w:r>
        <w:rPr>
          <w:sz w:val="24"/>
        </w:rPr>
        <w:t>. London: Prentice Hall Financial</w:t>
      </w:r>
      <w:r>
        <w:rPr>
          <w:spacing w:val="-2"/>
          <w:sz w:val="24"/>
        </w:rPr>
        <w:t> </w:t>
      </w:r>
      <w:r>
        <w:rPr>
          <w:sz w:val="24"/>
        </w:rPr>
        <w:t>Times.</w:t>
      </w:r>
    </w:p>
    <w:p>
      <w:pPr>
        <w:pStyle w:val="BodyText"/>
        <w:spacing w:before="1"/>
        <w:rPr>
          <w:sz w:val="29"/>
        </w:rPr>
      </w:pPr>
    </w:p>
    <w:p>
      <w:pPr>
        <w:pStyle w:val="ListParagraph"/>
        <w:numPr>
          <w:ilvl w:val="1"/>
          <w:numId w:val="3"/>
        </w:numPr>
        <w:tabs>
          <w:tab w:pos="941" w:val="left" w:leader="none"/>
        </w:tabs>
        <w:spacing w:line="360" w:lineRule="auto" w:before="0" w:after="0"/>
        <w:ind w:left="940" w:right="215" w:hanging="360"/>
        <w:jc w:val="left"/>
        <w:rPr>
          <w:sz w:val="24"/>
        </w:rPr>
      </w:pPr>
      <w:r>
        <w:rPr>
          <w:sz w:val="24"/>
        </w:rPr>
        <w:t>Bradford, A. (2011). </w:t>
      </w:r>
      <w:r>
        <w:rPr>
          <w:i/>
          <w:sz w:val="24"/>
        </w:rPr>
        <w:t>The Investment Industry for IT Practitioners</w:t>
      </w:r>
      <w:r>
        <w:rPr>
          <w:sz w:val="24"/>
        </w:rPr>
        <w:t>. 1st ed. Hoboken: John Wiley &amp;</w:t>
      </w:r>
      <w:r>
        <w:rPr>
          <w:spacing w:val="-8"/>
          <w:sz w:val="24"/>
        </w:rPr>
        <w:t> </w:t>
      </w:r>
      <w:r>
        <w:rPr>
          <w:sz w:val="24"/>
        </w:rPr>
        <w:t>Sons.</w:t>
      </w:r>
    </w:p>
    <w:p>
      <w:pPr>
        <w:pStyle w:val="ListParagraph"/>
        <w:numPr>
          <w:ilvl w:val="1"/>
          <w:numId w:val="3"/>
        </w:numPr>
        <w:tabs>
          <w:tab w:pos="941" w:val="left" w:leader="none"/>
        </w:tabs>
        <w:spacing w:line="360" w:lineRule="auto" w:before="180" w:after="0"/>
        <w:ind w:left="940" w:right="216" w:hanging="360"/>
        <w:jc w:val="left"/>
        <w:rPr>
          <w:sz w:val="24"/>
        </w:rPr>
      </w:pPr>
      <w:r>
        <w:rPr>
          <w:sz w:val="24"/>
        </w:rPr>
        <w:t>Brigham, E. (2010) </w:t>
      </w:r>
      <w:r>
        <w:rPr>
          <w:i/>
          <w:sz w:val="24"/>
        </w:rPr>
        <w:t>Financial Management: Theory and Practice. </w:t>
      </w:r>
      <w:r>
        <w:rPr>
          <w:sz w:val="24"/>
        </w:rPr>
        <w:t>5</w:t>
      </w:r>
      <w:r>
        <w:rPr>
          <w:sz w:val="24"/>
          <w:vertAlign w:val="superscript"/>
        </w:rPr>
        <w:t>th</w:t>
      </w:r>
      <w:r>
        <w:rPr>
          <w:sz w:val="24"/>
          <w:vertAlign w:val="baseline"/>
        </w:rPr>
        <w:t> ed. London: Routledge.</w:t>
      </w:r>
    </w:p>
    <w:p>
      <w:pPr>
        <w:pStyle w:val="ListParagraph"/>
        <w:numPr>
          <w:ilvl w:val="1"/>
          <w:numId w:val="3"/>
        </w:numPr>
        <w:tabs>
          <w:tab w:pos="941" w:val="left" w:leader="none"/>
        </w:tabs>
        <w:spacing w:line="360" w:lineRule="auto" w:before="1" w:after="0"/>
        <w:ind w:left="940" w:right="214" w:hanging="360"/>
        <w:jc w:val="left"/>
        <w:rPr>
          <w:sz w:val="24"/>
        </w:rPr>
      </w:pPr>
      <w:r>
        <w:rPr>
          <w:sz w:val="24"/>
        </w:rPr>
        <w:t>Brooks, C., &amp; Persand, G. (2001). The trading profitability of forecasts of the gilt--equity yield ratio. </w:t>
      </w:r>
      <w:r>
        <w:rPr>
          <w:i/>
          <w:sz w:val="24"/>
        </w:rPr>
        <w:t>International Journal Of Forecasting</w:t>
      </w:r>
      <w:r>
        <w:rPr>
          <w:sz w:val="24"/>
        </w:rPr>
        <w:t>, </w:t>
      </w:r>
      <w:r>
        <w:rPr>
          <w:i/>
          <w:sz w:val="24"/>
        </w:rPr>
        <w:t>17</w:t>
      </w:r>
      <w:r>
        <w:rPr>
          <w:sz w:val="24"/>
        </w:rPr>
        <w:t>(1),</w:t>
      </w:r>
      <w:r>
        <w:rPr>
          <w:spacing w:val="-2"/>
          <w:sz w:val="24"/>
        </w:rPr>
        <w:t> </w:t>
      </w:r>
      <w:r>
        <w:rPr>
          <w:sz w:val="24"/>
        </w:rPr>
        <w:t>11--29.</w:t>
      </w:r>
    </w:p>
    <w:p>
      <w:pPr>
        <w:pStyle w:val="ListParagraph"/>
        <w:numPr>
          <w:ilvl w:val="1"/>
          <w:numId w:val="3"/>
        </w:numPr>
        <w:tabs>
          <w:tab w:pos="941" w:val="left" w:leader="none"/>
        </w:tabs>
        <w:spacing w:line="360" w:lineRule="auto" w:before="0" w:after="0"/>
        <w:ind w:left="940" w:right="224" w:hanging="360"/>
        <w:jc w:val="left"/>
        <w:rPr>
          <w:sz w:val="24"/>
        </w:rPr>
      </w:pPr>
      <w:r>
        <w:rPr>
          <w:sz w:val="24"/>
        </w:rPr>
        <w:t>Burns, D., Sale, J., &amp; Stephan, J. (2008). A better way to gauge profitability: systematic ratio analysis using the advanced DuPont model. </w:t>
      </w:r>
      <w:r>
        <w:rPr>
          <w:i/>
          <w:sz w:val="24"/>
        </w:rPr>
        <w:t>Journal Of Accountancy</w:t>
      </w:r>
      <w:r>
        <w:rPr>
          <w:sz w:val="24"/>
        </w:rPr>
        <w:t>, </w:t>
      </w:r>
      <w:r>
        <w:rPr>
          <w:i/>
          <w:sz w:val="24"/>
        </w:rPr>
        <w:t>206</w:t>
      </w:r>
      <w:r>
        <w:rPr>
          <w:sz w:val="24"/>
        </w:rPr>
        <w:t>(2),</w:t>
      </w:r>
      <w:r>
        <w:rPr>
          <w:spacing w:val="-3"/>
          <w:sz w:val="24"/>
        </w:rPr>
        <w:t> </w:t>
      </w:r>
      <w:r>
        <w:rPr>
          <w:sz w:val="24"/>
        </w:rPr>
        <w:t>38.</w:t>
      </w:r>
    </w:p>
    <w:p>
      <w:pPr>
        <w:pStyle w:val="ListParagraph"/>
        <w:numPr>
          <w:ilvl w:val="1"/>
          <w:numId w:val="3"/>
        </w:numPr>
        <w:tabs>
          <w:tab w:pos="941" w:val="left" w:leader="none"/>
        </w:tabs>
        <w:spacing w:line="240" w:lineRule="auto" w:before="0" w:after="0"/>
        <w:ind w:left="940" w:right="0" w:hanging="361"/>
        <w:jc w:val="left"/>
        <w:rPr>
          <w:sz w:val="24"/>
        </w:rPr>
      </w:pPr>
      <w:r>
        <w:rPr>
          <w:sz w:val="24"/>
        </w:rPr>
        <w:t>Chen, K., &amp; Shimerda, T. (2001). An empirical analysis of useful financial</w:t>
      </w:r>
      <w:r>
        <w:rPr>
          <w:spacing w:val="58"/>
          <w:sz w:val="24"/>
        </w:rPr>
        <w:t> </w:t>
      </w:r>
      <w:r>
        <w:rPr>
          <w:sz w:val="24"/>
        </w:rPr>
        <w:t>ratios.</w:t>
      </w:r>
    </w:p>
    <w:p>
      <w:pPr>
        <w:spacing w:before="137"/>
        <w:ind w:left="940" w:right="0" w:firstLine="0"/>
        <w:jc w:val="left"/>
        <w:rPr>
          <w:sz w:val="24"/>
        </w:rPr>
      </w:pPr>
      <w:r>
        <w:rPr>
          <w:i/>
          <w:sz w:val="24"/>
        </w:rPr>
        <w:t>Financial Management</w:t>
      </w:r>
      <w:r>
        <w:rPr>
          <w:sz w:val="24"/>
        </w:rPr>
        <w:t>, 51--60.</w:t>
      </w:r>
    </w:p>
    <w:p>
      <w:pPr>
        <w:pStyle w:val="ListParagraph"/>
        <w:numPr>
          <w:ilvl w:val="1"/>
          <w:numId w:val="3"/>
        </w:numPr>
        <w:tabs>
          <w:tab w:pos="941" w:val="left" w:leader="none"/>
        </w:tabs>
        <w:spacing w:line="240" w:lineRule="auto" w:before="137" w:after="0"/>
        <w:ind w:left="940" w:right="0" w:hanging="361"/>
        <w:jc w:val="left"/>
        <w:rPr>
          <w:sz w:val="24"/>
        </w:rPr>
      </w:pPr>
      <w:r>
        <w:rPr>
          <w:sz w:val="24"/>
        </w:rPr>
        <w:t>Cox D and Fardon M — </w:t>
      </w:r>
      <w:r>
        <w:rPr>
          <w:i/>
          <w:sz w:val="24"/>
        </w:rPr>
        <w:t>Management of Finance </w:t>
      </w:r>
      <w:r>
        <w:rPr>
          <w:sz w:val="24"/>
        </w:rPr>
        <w:t>(Osborne Books,</w:t>
      </w:r>
      <w:r>
        <w:rPr>
          <w:spacing w:val="2"/>
          <w:sz w:val="24"/>
        </w:rPr>
        <w:t> </w:t>
      </w:r>
      <w:r>
        <w:rPr>
          <w:sz w:val="24"/>
        </w:rPr>
        <w:t>2003)</w:t>
      </w:r>
    </w:p>
    <w:p>
      <w:pPr>
        <w:pStyle w:val="ListParagraph"/>
        <w:numPr>
          <w:ilvl w:val="1"/>
          <w:numId w:val="3"/>
        </w:numPr>
        <w:tabs>
          <w:tab w:pos="941" w:val="left" w:leader="none"/>
        </w:tabs>
        <w:spacing w:line="360" w:lineRule="auto" w:before="140" w:after="0"/>
        <w:ind w:left="940" w:right="221" w:hanging="360"/>
        <w:jc w:val="left"/>
        <w:rPr>
          <w:sz w:val="24"/>
        </w:rPr>
      </w:pPr>
      <w:r>
        <w:rPr>
          <w:sz w:val="24"/>
        </w:rPr>
        <w:t>Dalton, J., &amp; Penn, D. (2004). The concentration-profitability relationship: </w:t>
      </w:r>
      <w:r>
        <w:rPr>
          <w:spacing w:val="-3"/>
          <w:sz w:val="24"/>
        </w:rPr>
        <w:t>Is </w:t>
      </w:r>
      <w:r>
        <w:rPr>
          <w:sz w:val="24"/>
        </w:rPr>
        <w:t>there a critical concentration ratio?. </w:t>
      </w:r>
      <w:r>
        <w:rPr>
          <w:i/>
          <w:sz w:val="24"/>
        </w:rPr>
        <w:t>The Journal Of Industrial Economics</w:t>
      </w:r>
      <w:r>
        <w:rPr>
          <w:sz w:val="24"/>
        </w:rPr>
        <w:t>,</w:t>
      </w:r>
      <w:r>
        <w:rPr>
          <w:spacing w:val="-2"/>
          <w:sz w:val="24"/>
        </w:rPr>
        <w:t> </w:t>
      </w:r>
      <w:r>
        <w:rPr>
          <w:sz w:val="24"/>
        </w:rPr>
        <w:t>133--142.</w:t>
      </w:r>
    </w:p>
    <w:p>
      <w:pPr>
        <w:pStyle w:val="ListParagraph"/>
        <w:numPr>
          <w:ilvl w:val="1"/>
          <w:numId w:val="3"/>
        </w:numPr>
        <w:tabs>
          <w:tab w:pos="941" w:val="left" w:leader="none"/>
        </w:tabs>
        <w:spacing w:line="240" w:lineRule="auto" w:before="0" w:after="0"/>
        <w:ind w:left="940" w:right="0" w:hanging="361"/>
        <w:jc w:val="left"/>
        <w:rPr>
          <w:sz w:val="24"/>
        </w:rPr>
      </w:pPr>
      <w:r>
        <w:rPr>
          <w:sz w:val="24"/>
        </w:rPr>
        <w:t>Deakin,</w:t>
      </w:r>
      <w:r>
        <w:rPr>
          <w:spacing w:val="10"/>
          <w:sz w:val="24"/>
        </w:rPr>
        <w:t> </w:t>
      </w:r>
      <w:r>
        <w:rPr>
          <w:sz w:val="24"/>
        </w:rPr>
        <w:t>E.</w:t>
      </w:r>
      <w:r>
        <w:rPr>
          <w:spacing w:val="9"/>
          <w:sz w:val="24"/>
        </w:rPr>
        <w:t> </w:t>
      </w:r>
      <w:r>
        <w:rPr>
          <w:sz w:val="24"/>
        </w:rPr>
        <w:t>(2006).</w:t>
      </w:r>
      <w:r>
        <w:rPr>
          <w:spacing w:val="10"/>
          <w:sz w:val="24"/>
        </w:rPr>
        <w:t> </w:t>
      </w:r>
      <w:r>
        <w:rPr>
          <w:sz w:val="24"/>
        </w:rPr>
        <w:t>Distributions</w:t>
      </w:r>
      <w:r>
        <w:rPr>
          <w:spacing w:val="10"/>
          <w:sz w:val="24"/>
        </w:rPr>
        <w:t> </w:t>
      </w:r>
      <w:r>
        <w:rPr>
          <w:sz w:val="24"/>
        </w:rPr>
        <w:t>of</w:t>
      </w:r>
      <w:r>
        <w:rPr>
          <w:spacing w:val="10"/>
          <w:sz w:val="24"/>
        </w:rPr>
        <w:t> </w:t>
      </w:r>
      <w:r>
        <w:rPr>
          <w:sz w:val="24"/>
        </w:rPr>
        <w:t>financial</w:t>
      </w:r>
      <w:r>
        <w:rPr>
          <w:spacing w:val="9"/>
          <w:sz w:val="24"/>
        </w:rPr>
        <w:t> </w:t>
      </w:r>
      <w:r>
        <w:rPr>
          <w:sz w:val="24"/>
        </w:rPr>
        <w:t>accounting</w:t>
      </w:r>
      <w:r>
        <w:rPr>
          <w:spacing w:val="7"/>
          <w:sz w:val="24"/>
        </w:rPr>
        <w:t> </w:t>
      </w:r>
      <w:r>
        <w:rPr>
          <w:sz w:val="24"/>
        </w:rPr>
        <w:t>ratios:</w:t>
      </w:r>
      <w:r>
        <w:rPr>
          <w:spacing w:val="11"/>
          <w:sz w:val="24"/>
        </w:rPr>
        <w:t> </w:t>
      </w:r>
      <w:r>
        <w:rPr>
          <w:sz w:val="24"/>
        </w:rPr>
        <w:t>some</w:t>
      </w:r>
      <w:r>
        <w:rPr>
          <w:spacing w:val="9"/>
          <w:sz w:val="24"/>
        </w:rPr>
        <w:t> </w:t>
      </w:r>
      <w:r>
        <w:rPr>
          <w:sz w:val="24"/>
        </w:rPr>
        <w:t>empirical</w:t>
      </w:r>
      <w:r>
        <w:rPr>
          <w:spacing w:val="11"/>
          <w:sz w:val="24"/>
        </w:rPr>
        <w:t> </w:t>
      </w:r>
      <w:r>
        <w:rPr>
          <w:sz w:val="24"/>
        </w:rPr>
        <w:t>evidence.</w:t>
      </w:r>
    </w:p>
    <w:p>
      <w:pPr>
        <w:spacing w:before="136"/>
        <w:ind w:left="940" w:right="0" w:firstLine="0"/>
        <w:jc w:val="left"/>
        <w:rPr>
          <w:sz w:val="24"/>
        </w:rPr>
      </w:pPr>
      <w:r>
        <w:rPr>
          <w:i/>
          <w:sz w:val="24"/>
        </w:rPr>
        <w:t>Accounting Review</w:t>
      </w:r>
      <w:r>
        <w:rPr>
          <w:sz w:val="24"/>
        </w:rPr>
        <w:t>, 90--96.</w:t>
      </w:r>
    </w:p>
    <w:p>
      <w:pPr>
        <w:pStyle w:val="ListParagraph"/>
        <w:numPr>
          <w:ilvl w:val="1"/>
          <w:numId w:val="3"/>
        </w:numPr>
        <w:tabs>
          <w:tab w:pos="941" w:val="left" w:leader="none"/>
        </w:tabs>
        <w:spacing w:line="240" w:lineRule="auto" w:before="140" w:after="0"/>
        <w:ind w:left="940" w:right="0" w:hanging="361"/>
        <w:jc w:val="left"/>
        <w:rPr>
          <w:sz w:val="24"/>
        </w:rPr>
      </w:pPr>
      <w:r>
        <w:rPr>
          <w:sz w:val="24"/>
        </w:rPr>
        <w:t>Dyson J R — </w:t>
      </w:r>
      <w:r>
        <w:rPr>
          <w:i/>
          <w:sz w:val="24"/>
        </w:rPr>
        <w:t>Accounting for Non-Accounting Learners </w:t>
      </w:r>
      <w:r>
        <w:rPr>
          <w:sz w:val="24"/>
        </w:rPr>
        <w:t>(Pitman, 2003)</w:t>
      </w:r>
    </w:p>
    <w:p>
      <w:pPr>
        <w:pStyle w:val="BodyText"/>
        <w:rPr>
          <w:sz w:val="20"/>
        </w:rPr>
      </w:pPr>
    </w:p>
    <w:p>
      <w:pPr>
        <w:pStyle w:val="BodyText"/>
        <w:rPr>
          <w:sz w:val="20"/>
        </w:rPr>
      </w:pPr>
    </w:p>
    <w:p>
      <w:pPr>
        <w:pStyle w:val="BodyText"/>
        <w:rPr>
          <w:sz w:val="15"/>
        </w:rPr>
      </w:pPr>
      <w:r>
        <w:rPr/>
        <w:pict>
          <v:group style="position:absolute;margin-left:281.25pt;margin-top:10.623707pt;width:49.35pt;height:49.35pt;mso-position-horizontal-relative:page;mso-position-vertical-relative:paragraph;z-index:-251622400;mso-wrap-distance-left:0;mso-wrap-distance-right:0" coordorigin="5625,212" coordsize="987,987">
            <v:shape style="position:absolute;left:5625;top:212;width:987;height:987" coordorigin="5625,212" coordsize="987,987" path="m6119,212l6046,218,5976,233,5911,258,5850,292,5795,334,5746,382,5705,437,5671,498,5646,563,5630,633,5625,706,5630,779,5646,849,5671,914,5705,975,5746,1030,5795,1078,5850,1120,5911,1154,5976,1179,6046,1194,6119,1199,6191,1194,6261,1179,6327,1154,6387,1120,6442,1078,6491,1030,6532,975,6566,914,6591,849,6607,779,6612,706,6607,633,6591,563,6566,498,6532,437,6491,382,6442,334,6387,292,6327,258,6261,233,6191,218,6119,212xe" filled="true" fillcolor="#375f92" stroked="false">
              <v:path arrowok="t"/>
              <v:fill type="solid"/>
            </v:shape>
            <v:shape style="position:absolute;left:5769;top:429;width:699;height:555" type="#_x0000_t75" stroked="false">
              <v:imagedata r:id="rId10" o:title=""/>
            </v:shape>
            <v:shape style="position:absolute;left:5625;top:212;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13</w:t>
                    </w:r>
                  </w:p>
                </w:txbxContent>
              </v:textbox>
              <w10:wrap type="none"/>
            </v:shape>
            <w10:wrap type="topAndBottom"/>
          </v:group>
        </w:pict>
      </w:r>
    </w:p>
    <w:p>
      <w:pPr>
        <w:spacing w:after="0"/>
        <w:rPr>
          <w:sz w:val="15"/>
        </w:rPr>
        <w:sectPr>
          <w:pgSz w:w="12240" w:h="15840"/>
          <w:pgMar w:top="1360" w:bottom="0" w:left="1220" w:right="1220"/>
        </w:sectPr>
      </w:pPr>
    </w:p>
    <w:p>
      <w:pPr>
        <w:pStyle w:val="ListParagraph"/>
        <w:numPr>
          <w:ilvl w:val="1"/>
          <w:numId w:val="3"/>
        </w:numPr>
        <w:tabs>
          <w:tab w:pos="941" w:val="left" w:leader="none"/>
        </w:tabs>
        <w:spacing w:line="360" w:lineRule="auto" w:before="74" w:after="0"/>
        <w:ind w:left="940" w:right="225" w:hanging="360"/>
        <w:jc w:val="left"/>
        <w:rPr>
          <w:sz w:val="24"/>
        </w:rPr>
      </w:pPr>
      <w:r>
        <w:rPr/>
        <w:pict>
          <v:group style="position:absolute;margin-left:24pt;margin-top:24pt;width:564.15pt;height:768.15pt;mso-position-horizontal-relative:page;mso-position-vertical-relative:page;z-index:-253562880"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sz w:val="24"/>
        </w:rPr>
        <w:t>Edmister, R. (2002). An empirical test of financial ratio analysis for small business failure prediction. </w:t>
      </w:r>
      <w:r>
        <w:rPr>
          <w:i/>
          <w:sz w:val="24"/>
        </w:rPr>
        <w:t>Journal Of Financial And Quantitative Analysis</w:t>
      </w:r>
      <w:r>
        <w:rPr>
          <w:sz w:val="24"/>
        </w:rPr>
        <w:t>, </w:t>
      </w:r>
      <w:r>
        <w:rPr>
          <w:i/>
          <w:sz w:val="24"/>
        </w:rPr>
        <w:t>7</w:t>
      </w:r>
      <w:r>
        <w:rPr>
          <w:sz w:val="24"/>
        </w:rPr>
        <w:t>(02),</w:t>
      </w:r>
      <w:r>
        <w:rPr>
          <w:spacing w:val="-6"/>
          <w:sz w:val="24"/>
        </w:rPr>
        <w:t> </w:t>
      </w:r>
      <w:r>
        <w:rPr>
          <w:sz w:val="24"/>
        </w:rPr>
        <w:t>1477--1493.</w:t>
      </w:r>
    </w:p>
    <w:p>
      <w:pPr>
        <w:pStyle w:val="ListParagraph"/>
        <w:numPr>
          <w:ilvl w:val="1"/>
          <w:numId w:val="3"/>
        </w:numPr>
        <w:tabs>
          <w:tab w:pos="941" w:val="left" w:leader="none"/>
        </w:tabs>
        <w:spacing w:line="360" w:lineRule="auto" w:before="1" w:after="0"/>
        <w:ind w:left="940" w:right="215" w:hanging="360"/>
        <w:jc w:val="left"/>
        <w:rPr>
          <w:sz w:val="24"/>
        </w:rPr>
      </w:pPr>
      <w:r>
        <w:rPr>
          <w:sz w:val="24"/>
        </w:rPr>
        <w:t>Elliott, B., &amp; Elliott, J. (2006). </w:t>
      </w:r>
      <w:r>
        <w:rPr>
          <w:i/>
          <w:sz w:val="24"/>
        </w:rPr>
        <w:t>Financial accounting, reporting and analysis</w:t>
      </w:r>
      <w:r>
        <w:rPr>
          <w:sz w:val="24"/>
        </w:rPr>
        <w:t>. Harlow [etc.]: Financial Times/Prentice</w:t>
      </w:r>
      <w:r>
        <w:rPr>
          <w:spacing w:val="-2"/>
          <w:sz w:val="24"/>
        </w:rPr>
        <w:t> </w:t>
      </w:r>
      <w:r>
        <w:rPr>
          <w:sz w:val="24"/>
        </w:rPr>
        <w:t>Hall.</w:t>
      </w:r>
    </w:p>
    <w:p>
      <w:pPr>
        <w:pStyle w:val="ListParagraph"/>
        <w:numPr>
          <w:ilvl w:val="1"/>
          <w:numId w:val="3"/>
        </w:numPr>
        <w:tabs>
          <w:tab w:pos="941" w:val="left" w:leader="none"/>
        </w:tabs>
        <w:spacing w:line="360" w:lineRule="auto" w:before="199" w:after="0"/>
        <w:ind w:left="940" w:right="217" w:hanging="360"/>
        <w:jc w:val="left"/>
        <w:rPr>
          <w:sz w:val="24"/>
        </w:rPr>
      </w:pPr>
      <w:r>
        <w:rPr>
          <w:sz w:val="24"/>
        </w:rPr>
        <w:t>European Dept, I. (2013). </w:t>
      </w:r>
      <w:r>
        <w:rPr>
          <w:i/>
          <w:sz w:val="24"/>
        </w:rPr>
        <w:t>United Kingdom</w:t>
      </w:r>
      <w:r>
        <w:rPr>
          <w:sz w:val="24"/>
        </w:rPr>
        <w:t>. 1st ed. Washington: International Monetary Fund.</w:t>
      </w:r>
    </w:p>
    <w:p>
      <w:pPr>
        <w:pStyle w:val="ListParagraph"/>
        <w:numPr>
          <w:ilvl w:val="1"/>
          <w:numId w:val="3"/>
        </w:numPr>
        <w:tabs>
          <w:tab w:pos="941" w:val="left" w:leader="none"/>
        </w:tabs>
        <w:spacing w:line="360" w:lineRule="auto" w:before="180" w:after="0"/>
        <w:ind w:left="940" w:right="217" w:hanging="360"/>
        <w:jc w:val="left"/>
        <w:rPr>
          <w:sz w:val="24"/>
        </w:rPr>
      </w:pPr>
      <w:r>
        <w:rPr>
          <w:sz w:val="24"/>
        </w:rPr>
        <w:t>European Dept, I. (2014). </w:t>
      </w:r>
      <w:r>
        <w:rPr>
          <w:i/>
          <w:sz w:val="24"/>
        </w:rPr>
        <w:t>United Kingdom</w:t>
      </w:r>
      <w:r>
        <w:rPr>
          <w:sz w:val="24"/>
        </w:rPr>
        <w:t>. 1st ed. Washington: International Monetary Fund.</w:t>
      </w:r>
    </w:p>
    <w:p>
      <w:pPr>
        <w:pStyle w:val="ListParagraph"/>
        <w:numPr>
          <w:ilvl w:val="1"/>
          <w:numId w:val="3"/>
        </w:numPr>
        <w:tabs>
          <w:tab w:pos="941" w:val="left" w:leader="none"/>
        </w:tabs>
        <w:spacing w:line="240" w:lineRule="auto" w:before="181" w:after="0"/>
        <w:ind w:left="940" w:right="0" w:hanging="361"/>
        <w:jc w:val="left"/>
        <w:rPr>
          <w:sz w:val="24"/>
        </w:rPr>
      </w:pPr>
      <w:r>
        <w:rPr>
          <w:sz w:val="24"/>
        </w:rPr>
        <w:t>Flower, J., &amp; Ebbers, G. (2002). </w:t>
      </w:r>
      <w:r>
        <w:rPr>
          <w:i/>
          <w:sz w:val="24"/>
        </w:rPr>
        <w:t>Global financial reporting</w:t>
      </w:r>
      <w:r>
        <w:rPr>
          <w:sz w:val="24"/>
        </w:rPr>
        <w:t>. Basingstoke:</w:t>
      </w:r>
      <w:r>
        <w:rPr>
          <w:spacing w:val="-4"/>
          <w:sz w:val="24"/>
        </w:rPr>
        <w:t> </w:t>
      </w:r>
      <w:r>
        <w:rPr>
          <w:sz w:val="24"/>
        </w:rPr>
        <w:t>Palgrave.</w:t>
      </w:r>
    </w:p>
    <w:p>
      <w:pPr>
        <w:pStyle w:val="BodyText"/>
        <w:spacing w:before="4"/>
        <w:rPr>
          <w:sz w:val="29"/>
        </w:rPr>
      </w:pPr>
    </w:p>
    <w:p>
      <w:pPr>
        <w:pStyle w:val="ListParagraph"/>
        <w:numPr>
          <w:ilvl w:val="1"/>
          <w:numId w:val="3"/>
        </w:numPr>
        <w:tabs>
          <w:tab w:pos="941" w:val="left" w:leader="none"/>
        </w:tabs>
        <w:spacing w:line="240" w:lineRule="auto" w:before="0" w:after="0"/>
        <w:ind w:left="940" w:right="0" w:hanging="361"/>
        <w:jc w:val="left"/>
        <w:rPr>
          <w:sz w:val="24"/>
        </w:rPr>
      </w:pPr>
      <w:r>
        <w:rPr>
          <w:sz w:val="24"/>
        </w:rPr>
        <w:t>Fontanills, G. and Gentile, T. (2001). </w:t>
      </w:r>
      <w:r>
        <w:rPr>
          <w:i/>
          <w:sz w:val="24"/>
        </w:rPr>
        <w:t>The stock market course</w:t>
      </w:r>
      <w:r>
        <w:rPr>
          <w:sz w:val="24"/>
        </w:rPr>
        <w:t>. 1st ed. New York:</w:t>
      </w:r>
      <w:r>
        <w:rPr>
          <w:spacing w:val="-10"/>
          <w:sz w:val="24"/>
        </w:rPr>
        <w:t> </w:t>
      </w:r>
      <w:r>
        <w:rPr>
          <w:sz w:val="24"/>
        </w:rPr>
        <w:t>Wiley.</w:t>
      </w:r>
    </w:p>
    <w:p>
      <w:pPr>
        <w:pStyle w:val="BodyText"/>
        <w:spacing w:before="9"/>
        <w:rPr>
          <w:sz w:val="27"/>
        </w:rPr>
      </w:pPr>
    </w:p>
    <w:p>
      <w:pPr>
        <w:pStyle w:val="ListParagraph"/>
        <w:numPr>
          <w:ilvl w:val="1"/>
          <w:numId w:val="3"/>
        </w:numPr>
        <w:tabs>
          <w:tab w:pos="941" w:val="left" w:leader="none"/>
        </w:tabs>
        <w:spacing w:line="360" w:lineRule="auto" w:before="0" w:after="0"/>
        <w:ind w:left="940" w:right="214" w:hanging="360"/>
        <w:jc w:val="left"/>
        <w:rPr>
          <w:sz w:val="24"/>
        </w:rPr>
      </w:pPr>
      <w:r>
        <w:rPr>
          <w:sz w:val="24"/>
        </w:rPr>
        <w:t>Fridson, M., &amp; Alvarez, F. (2002). </w:t>
      </w:r>
      <w:r>
        <w:rPr>
          <w:i/>
          <w:sz w:val="24"/>
        </w:rPr>
        <w:t>Financial statement analysis</w:t>
      </w:r>
      <w:r>
        <w:rPr>
          <w:sz w:val="24"/>
        </w:rPr>
        <w:t>. New York: John Wiley &amp;</w:t>
      </w:r>
      <w:r>
        <w:rPr>
          <w:spacing w:val="-2"/>
          <w:sz w:val="24"/>
        </w:rPr>
        <w:t> </w:t>
      </w:r>
      <w:r>
        <w:rPr>
          <w:sz w:val="24"/>
        </w:rPr>
        <w:t>Sons.</w:t>
      </w:r>
    </w:p>
    <w:p>
      <w:pPr>
        <w:pStyle w:val="ListParagraph"/>
        <w:numPr>
          <w:ilvl w:val="1"/>
          <w:numId w:val="3"/>
        </w:numPr>
        <w:tabs>
          <w:tab w:pos="941" w:val="left" w:leader="none"/>
        </w:tabs>
        <w:spacing w:line="360" w:lineRule="auto" w:before="199" w:after="0"/>
        <w:ind w:left="940" w:right="220" w:hanging="360"/>
        <w:jc w:val="left"/>
        <w:rPr>
          <w:sz w:val="24"/>
        </w:rPr>
      </w:pPr>
      <w:r>
        <w:rPr>
          <w:sz w:val="24"/>
        </w:rPr>
        <w:t>Hafer, R. and Hein, S. (2007). </w:t>
      </w:r>
      <w:r>
        <w:rPr>
          <w:i/>
          <w:sz w:val="24"/>
        </w:rPr>
        <w:t>The stock market</w:t>
      </w:r>
      <w:r>
        <w:rPr>
          <w:sz w:val="24"/>
        </w:rPr>
        <w:t>. 1st ed. Westport, Conn.: Greenwood Press.</w:t>
      </w:r>
    </w:p>
    <w:p>
      <w:pPr>
        <w:pStyle w:val="ListParagraph"/>
        <w:numPr>
          <w:ilvl w:val="1"/>
          <w:numId w:val="3"/>
        </w:numPr>
        <w:tabs>
          <w:tab w:pos="941" w:val="left" w:leader="none"/>
        </w:tabs>
        <w:spacing w:line="360" w:lineRule="auto" w:before="181" w:after="0"/>
        <w:ind w:left="940" w:right="222" w:hanging="360"/>
        <w:jc w:val="left"/>
        <w:rPr>
          <w:sz w:val="24"/>
        </w:rPr>
      </w:pPr>
      <w:r>
        <w:rPr>
          <w:sz w:val="24"/>
        </w:rPr>
        <w:t>Holz, C. (2002). The impact of the liability--asset ratio on profitability in China's industrial state-owned enterprises. </w:t>
      </w:r>
      <w:r>
        <w:rPr>
          <w:i/>
          <w:sz w:val="24"/>
        </w:rPr>
        <w:t>China Economic Review</w:t>
      </w:r>
      <w:r>
        <w:rPr>
          <w:sz w:val="24"/>
        </w:rPr>
        <w:t>, </w:t>
      </w:r>
      <w:r>
        <w:rPr>
          <w:i/>
          <w:sz w:val="24"/>
        </w:rPr>
        <w:t>13</w:t>
      </w:r>
      <w:r>
        <w:rPr>
          <w:sz w:val="24"/>
        </w:rPr>
        <w:t>(1),</w:t>
      </w:r>
      <w:r>
        <w:rPr>
          <w:spacing w:val="-3"/>
          <w:sz w:val="24"/>
        </w:rPr>
        <w:t> </w:t>
      </w:r>
      <w:r>
        <w:rPr>
          <w:sz w:val="24"/>
        </w:rPr>
        <w:t>1--26.</w:t>
      </w:r>
    </w:p>
    <w:p>
      <w:pPr>
        <w:pStyle w:val="ListParagraph"/>
        <w:numPr>
          <w:ilvl w:val="1"/>
          <w:numId w:val="3"/>
        </w:numPr>
        <w:tabs>
          <w:tab w:pos="941" w:val="left" w:leader="none"/>
        </w:tabs>
        <w:spacing w:line="240" w:lineRule="auto" w:before="0" w:after="0"/>
        <w:ind w:left="940" w:right="0" w:hanging="361"/>
        <w:jc w:val="left"/>
        <w:rPr>
          <w:sz w:val="24"/>
        </w:rPr>
      </w:pPr>
      <w:r>
        <w:rPr>
          <w:sz w:val="24"/>
        </w:rPr>
        <w:t>Horrigan, J. (2000). </w:t>
      </w:r>
      <w:r>
        <w:rPr>
          <w:i/>
          <w:sz w:val="24"/>
        </w:rPr>
        <w:t>Financial ratio analysis</w:t>
      </w:r>
      <w:r>
        <w:rPr>
          <w:sz w:val="24"/>
        </w:rPr>
        <w:t>. New York: Arno</w:t>
      </w:r>
      <w:r>
        <w:rPr>
          <w:spacing w:val="-2"/>
          <w:sz w:val="24"/>
        </w:rPr>
        <w:t> </w:t>
      </w:r>
      <w:r>
        <w:rPr>
          <w:sz w:val="24"/>
        </w:rPr>
        <w:t>Press.</w:t>
      </w:r>
    </w:p>
    <w:p>
      <w:pPr>
        <w:pStyle w:val="ListParagraph"/>
        <w:numPr>
          <w:ilvl w:val="1"/>
          <w:numId w:val="3"/>
        </w:numPr>
        <w:tabs>
          <w:tab w:pos="941" w:val="left" w:leader="none"/>
        </w:tabs>
        <w:spacing w:line="240" w:lineRule="auto" w:before="137" w:after="0"/>
        <w:ind w:left="940" w:right="0" w:hanging="361"/>
        <w:jc w:val="left"/>
        <w:rPr>
          <w:sz w:val="24"/>
        </w:rPr>
      </w:pPr>
      <w:r>
        <w:rPr>
          <w:sz w:val="24"/>
        </w:rPr>
        <w:t>Horrigan,</w:t>
      </w:r>
      <w:r>
        <w:rPr>
          <w:spacing w:val="10"/>
          <w:sz w:val="24"/>
        </w:rPr>
        <w:t> </w:t>
      </w:r>
      <w:r>
        <w:rPr>
          <w:sz w:val="24"/>
        </w:rPr>
        <w:t>J.</w:t>
      </w:r>
      <w:r>
        <w:rPr>
          <w:spacing w:val="10"/>
          <w:sz w:val="24"/>
        </w:rPr>
        <w:t> </w:t>
      </w:r>
      <w:r>
        <w:rPr>
          <w:sz w:val="24"/>
        </w:rPr>
        <w:t>(2006).</w:t>
      </w:r>
      <w:r>
        <w:rPr>
          <w:spacing w:val="10"/>
          <w:sz w:val="24"/>
        </w:rPr>
        <w:t> </w:t>
      </w:r>
      <w:r>
        <w:rPr>
          <w:sz w:val="24"/>
        </w:rPr>
        <w:t>The</w:t>
      </w:r>
      <w:r>
        <w:rPr>
          <w:spacing w:val="11"/>
          <w:sz w:val="24"/>
        </w:rPr>
        <w:t> </w:t>
      </w:r>
      <w:r>
        <w:rPr>
          <w:sz w:val="24"/>
        </w:rPr>
        <w:t>determination</w:t>
      </w:r>
      <w:r>
        <w:rPr>
          <w:spacing w:val="11"/>
          <w:sz w:val="24"/>
        </w:rPr>
        <w:t> </w:t>
      </w:r>
      <w:r>
        <w:rPr>
          <w:sz w:val="24"/>
        </w:rPr>
        <w:t>of</w:t>
      </w:r>
      <w:r>
        <w:rPr>
          <w:spacing w:val="10"/>
          <w:sz w:val="24"/>
        </w:rPr>
        <w:t> </w:t>
      </w:r>
      <w:r>
        <w:rPr>
          <w:sz w:val="24"/>
        </w:rPr>
        <w:t>long-term</w:t>
      </w:r>
      <w:r>
        <w:rPr>
          <w:spacing w:val="11"/>
          <w:sz w:val="24"/>
        </w:rPr>
        <w:t> </w:t>
      </w:r>
      <w:r>
        <w:rPr>
          <w:sz w:val="24"/>
        </w:rPr>
        <w:t>credit</w:t>
      </w:r>
      <w:r>
        <w:rPr>
          <w:spacing w:val="11"/>
          <w:sz w:val="24"/>
        </w:rPr>
        <w:t> </w:t>
      </w:r>
      <w:r>
        <w:rPr>
          <w:sz w:val="24"/>
        </w:rPr>
        <w:t>standing</w:t>
      </w:r>
      <w:r>
        <w:rPr>
          <w:spacing w:val="9"/>
          <w:sz w:val="24"/>
        </w:rPr>
        <w:t> </w:t>
      </w:r>
      <w:r>
        <w:rPr>
          <w:sz w:val="24"/>
        </w:rPr>
        <w:t>with</w:t>
      </w:r>
      <w:r>
        <w:rPr>
          <w:spacing w:val="11"/>
          <w:sz w:val="24"/>
        </w:rPr>
        <w:t> </w:t>
      </w:r>
      <w:r>
        <w:rPr>
          <w:sz w:val="24"/>
        </w:rPr>
        <w:t>financial</w:t>
      </w:r>
      <w:r>
        <w:rPr>
          <w:spacing w:val="10"/>
          <w:sz w:val="24"/>
        </w:rPr>
        <w:t> </w:t>
      </w:r>
      <w:r>
        <w:rPr>
          <w:sz w:val="24"/>
        </w:rPr>
        <w:t>ratios.</w:t>
      </w:r>
    </w:p>
    <w:p>
      <w:pPr>
        <w:spacing w:before="139"/>
        <w:ind w:left="940" w:right="0" w:firstLine="0"/>
        <w:jc w:val="left"/>
        <w:rPr>
          <w:sz w:val="24"/>
        </w:rPr>
      </w:pPr>
      <w:r>
        <w:rPr>
          <w:i/>
          <w:sz w:val="24"/>
        </w:rPr>
        <w:t>Journal Of Accounting Research</w:t>
      </w:r>
      <w:r>
        <w:rPr>
          <w:sz w:val="24"/>
        </w:rPr>
        <w:t>, 44--62.</w:t>
      </w:r>
    </w:p>
    <w:p>
      <w:pPr>
        <w:pStyle w:val="ListParagraph"/>
        <w:numPr>
          <w:ilvl w:val="1"/>
          <w:numId w:val="3"/>
        </w:numPr>
        <w:tabs>
          <w:tab w:pos="941" w:val="left" w:leader="none"/>
        </w:tabs>
        <w:spacing w:line="360" w:lineRule="auto" w:before="137" w:after="0"/>
        <w:ind w:left="940" w:right="218" w:hanging="360"/>
        <w:jc w:val="left"/>
        <w:rPr>
          <w:sz w:val="24"/>
        </w:rPr>
      </w:pPr>
      <w:r>
        <w:rPr>
          <w:sz w:val="24"/>
        </w:rPr>
        <w:t>Horrigan, J. (2007). </w:t>
      </w:r>
      <w:r>
        <w:rPr>
          <w:i/>
          <w:sz w:val="24"/>
        </w:rPr>
        <w:t>An evaluation of financial ratio analysis</w:t>
      </w:r>
      <w:r>
        <w:rPr>
          <w:sz w:val="24"/>
        </w:rPr>
        <w:t>. Chicago: University of Chicago.</w:t>
      </w:r>
    </w:p>
    <w:p>
      <w:pPr>
        <w:pStyle w:val="ListParagraph"/>
        <w:numPr>
          <w:ilvl w:val="1"/>
          <w:numId w:val="3"/>
        </w:numPr>
        <w:tabs>
          <w:tab w:pos="941" w:val="left" w:leader="none"/>
        </w:tabs>
        <w:spacing w:line="360" w:lineRule="auto" w:before="202" w:after="0"/>
        <w:ind w:left="940" w:right="220" w:hanging="360"/>
        <w:jc w:val="left"/>
        <w:rPr>
          <w:sz w:val="24"/>
        </w:rPr>
      </w:pPr>
      <w:r>
        <w:rPr>
          <w:sz w:val="24"/>
        </w:rPr>
        <w:t>Huizinga, H. and Jonung, L. (2005). </w:t>
      </w:r>
      <w:r>
        <w:rPr>
          <w:i/>
          <w:sz w:val="24"/>
        </w:rPr>
        <w:t>The internationalisation of asset ownership in </w:t>
      </w:r>
      <w:r>
        <w:rPr>
          <w:i/>
          <w:sz w:val="24"/>
        </w:rPr>
        <w:t>Europe</w:t>
      </w:r>
      <w:r>
        <w:rPr>
          <w:sz w:val="24"/>
        </w:rPr>
        <w:t>. 1st ed. Cambridge, UK: Cambridge University</w:t>
      </w:r>
      <w:r>
        <w:rPr>
          <w:spacing w:val="-6"/>
          <w:sz w:val="24"/>
        </w:rPr>
        <w:t> </w:t>
      </w:r>
      <w:r>
        <w:rPr>
          <w:sz w:val="24"/>
        </w:rPr>
        <w:t>Press.</w:t>
      </w:r>
    </w:p>
    <w:p>
      <w:pPr>
        <w:pStyle w:val="ListParagraph"/>
        <w:numPr>
          <w:ilvl w:val="1"/>
          <w:numId w:val="3"/>
        </w:numPr>
        <w:tabs>
          <w:tab w:pos="941" w:val="left" w:leader="none"/>
        </w:tabs>
        <w:spacing w:line="360" w:lineRule="auto" w:before="178" w:after="0"/>
        <w:ind w:left="940" w:right="216" w:hanging="360"/>
        <w:jc w:val="left"/>
        <w:rPr>
          <w:sz w:val="24"/>
        </w:rPr>
      </w:pPr>
      <w:r>
        <w:rPr>
          <w:sz w:val="24"/>
        </w:rPr>
        <w:t>Ingram, R. W. and Albright, T. </w:t>
      </w:r>
      <w:r>
        <w:rPr>
          <w:spacing w:val="-3"/>
          <w:sz w:val="24"/>
        </w:rPr>
        <w:t>L. </w:t>
      </w:r>
      <w:r>
        <w:rPr>
          <w:sz w:val="24"/>
        </w:rPr>
        <w:t>(2009) </w:t>
      </w:r>
      <w:r>
        <w:rPr>
          <w:i/>
          <w:sz w:val="24"/>
        </w:rPr>
        <w:t>Financial Accounting: Information for </w:t>
      </w:r>
      <w:r>
        <w:rPr>
          <w:i/>
          <w:sz w:val="24"/>
        </w:rPr>
        <w:t>Decisions </w:t>
      </w:r>
      <w:r>
        <w:rPr>
          <w:sz w:val="24"/>
        </w:rPr>
        <w:t>- Page 142 4th ed. Harlow: Prentice Hall</w:t>
      </w:r>
      <w:r>
        <w:rPr>
          <w:spacing w:val="-3"/>
          <w:sz w:val="24"/>
        </w:rPr>
        <w:t> </w:t>
      </w:r>
      <w:r>
        <w:rPr>
          <w:sz w:val="24"/>
        </w:rPr>
        <w:t>Companion.</w:t>
      </w:r>
    </w:p>
    <w:p>
      <w:pPr>
        <w:pStyle w:val="BodyText"/>
        <w:rPr>
          <w:sz w:val="20"/>
        </w:rPr>
      </w:pPr>
    </w:p>
    <w:p>
      <w:pPr>
        <w:pStyle w:val="BodyText"/>
        <w:rPr>
          <w:sz w:val="20"/>
        </w:rPr>
      </w:pPr>
    </w:p>
    <w:p>
      <w:pPr>
        <w:pStyle w:val="BodyText"/>
        <w:rPr>
          <w:sz w:val="20"/>
        </w:rPr>
      </w:pPr>
    </w:p>
    <w:p>
      <w:pPr>
        <w:pStyle w:val="BodyText"/>
        <w:spacing w:before="9"/>
        <w:rPr>
          <w:sz w:val="22"/>
        </w:rPr>
      </w:pPr>
      <w:r>
        <w:rPr/>
        <w:pict>
          <v:group style="position:absolute;margin-left:281.25pt;margin-top:15.095679pt;width:49.35pt;height:49.35pt;mso-position-horizontal-relative:page;mso-position-vertical-relative:paragraph;z-index:-251619328;mso-wrap-distance-left:0;mso-wrap-distance-right:0" coordorigin="5625,302" coordsize="987,987">
            <v:shape style="position:absolute;left:5625;top:301;width:987;height:987" coordorigin="5625,302" coordsize="987,987" path="m6119,302l6046,307,5976,323,5911,348,5850,381,5795,423,5746,472,5705,527,5671,587,5646,653,5630,722,5625,795,5630,868,5646,938,5671,1003,5705,1064,5746,1119,5795,1168,5850,1209,5911,1243,5976,1268,6046,1284,6119,1289,6191,1284,6261,1268,6327,1243,6387,1209,6442,1168,6491,1119,6532,1064,6566,1003,6591,938,6607,868,6612,795,6607,722,6591,653,6566,587,6532,527,6491,472,6442,423,6387,381,6327,348,6261,323,6191,307,6119,302xe" filled="true" fillcolor="#375f92" stroked="false">
              <v:path arrowok="t"/>
              <v:fill type="solid"/>
            </v:shape>
            <v:shape style="position:absolute;left:5769;top:518;width:699;height:555" type="#_x0000_t75" stroked="false">
              <v:imagedata r:id="rId10" o:title=""/>
            </v:shape>
            <v:shape style="position:absolute;left:5625;top:301;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14</w:t>
                    </w:r>
                  </w:p>
                </w:txbxContent>
              </v:textbox>
              <w10:wrap type="none"/>
            </v:shape>
            <w10:wrap type="topAndBottom"/>
          </v:group>
        </w:pict>
      </w:r>
    </w:p>
    <w:p>
      <w:pPr>
        <w:spacing w:after="0"/>
        <w:rPr>
          <w:sz w:val="22"/>
        </w:rPr>
        <w:sectPr>
          <w:pgSz w:w="12240" w:h="15840"/>
          <w:pgMar w:top="1360" w:bottom="0" w:left="1220" w:right="1220"/>
        </w:sectPr>
      </w:pPr>
    </w:p>
    <w:p>
      <w:pPr>
        <w:pStyle w:val="ListParagraph"/>
        <w:numPr>
          <w:ilvl w:val="1"/>
          <w:numId w:val="3"/>
        </w:numPr>
        <w:tabs>
          <w:tab w:pos="941" w:val="left" w:leader="none"/>
        </w:tabs>
        <w:spacing w:line="360" w:lineRule="auto" w:before="74" w:after="0"/>
        <w:ind w:left="940" w:right="217" w:hanging="360"/>
        <w:jc w:val="both"/>
        <w:rPr>
          <w:sz w:val="24"/>
        </w:rPr>
      </w:pPr>
      <w:r>
        <w:rPr/>
        <w:pict>
          <v:group style="position:absolute;margin-left:24pt;margin-top:24pt;width:564.15pt;height:768.15pt;mso-position-horizontal-relative:page;mso-position-vertical-relative:page;z-index:-253559808"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sz w:val="24"/>
        </w:rPr>
        <w:t>John, S., &amp; Muthusamy, K. (2010). Leverage, growth and profitability as determinants of dividend payout ratio-evidence from Indian paper industry. </w:t>
      </w:r>
      <w:r>
        <w:rPr>
          <w:i/>
          <w:sz w:val="24"/>
        </w:rPr>
        <w:t>Asian Journal Of Business </w:t>
      </w:r>
      <w:r>
        <w:rPr>
          <w:i/>
          <w:sz w:val="24"/>
        </w:rPr>
        <w:t>Management Studies</w:t>
      </w:r>
      <w:r>
        <w:rPr>
          <w:sz w:val="24"/>
        </w:rPr>
        <w:t>, </w:t>
      </w:r>
      <w:r>
        <w:rPr>
          <w:i/>
          <w:sz w:val="24"/>
        </w:rPr>
        <w:t>1</w:t>
      </w:r>
      <w:r>
        <w:rPr>
          <w:sz w:val="24"/>
        </w:rPr>
        <w:t>(1),</w:t>
      </w:r>
      <w:r>
        <w:rPr>
          <w:spacing w:val="-1"/>
          <w:sz w:val="24"/>
        </w:rPr>
        <w:t> </w:t>
      </w:r>
      <w:r>
        <w:rPr>
          <w:sz w:val="24"/>
        </w:rPr>
        <w:t>26--30.</w:t>
      </w:r>
    </w:p>
    <w:p>
      <w:pPr>
        <w:pStyle w:val="ListParagraph"/>
        <w:numPr>
          <w:ilvl w:val="1"/>
          <w:numId w:val="3"/>
        </w:numPr>
        <w:tabs>
          <w:tab w:pos="941" w:val="left" w:leader="none"/>
        </w:tabs>
        <w:spacing w:line="275" w:lineRule="exact" w:before="0" w:after="0"/>
        <w:ind w:left="940" w:right="0" w:hanging="361"/>
        <w:jc w:val="both"/>
        <w:rPr>
          <w:sz w:val="24"/>
        </w:rPr>
      </w:pPr>
      <w:r>
        <w:rPr>
          <w:sz w:val="24"/>
        </w:rPr>
        <w:t>Khan,</w:t>
      </w:r>
      <w:r>
        <w:rPr>
          <w:spacing w:val="31"/>
          <w:sz w:val="24"/>
        </w:rPr>
        <w:t> </w:t>
      </w:r>
      <w:r>
        <w:rPr>
          <w:sz w:val="24"/>
        </w:rPr>
        <w:t>M.</w:t>
      </w:r>
      <w:r>
        <w:rPr>
          <w:spacing w:val="32"/>
          <w:sz w:val="24"/>
        </w:rPr>
        <w:t> </w:t>
      </w:r>
      <w:r>
        <w:rPr>
          <w:sz w:val="24"/>
        </w:rPr>
        <w:t>B.</w:t>
      </w:r>
      <w:r>
        <w:rPr>
          <w:spacing w:val="32"/>
          <w:sz w:val="24"/>
        </w:rPr>
        <w:t> </w:t>
      </w:r>
      <w:r>
        <w:rPr>
          <w:sz w:val="24"/>
        </w:rPr>
        <w:t>and</w:t>
      </w:r>
      <w:r>
        <w:rPr>
          <w:spacing w:val="32"/>
          <w:sz w:val="24"/>
        </w:rPr>
        <w:t> </w:t>
      </w:r>
      <w:r>
        <w:rPr>
          <w:sz w:val="24"/>
        </w:rPr>
        <w:t>Rehman,</w:t>
      </w:r>
      <w:r>
        <w:rPr>
          <w:spacing w:val="32"/>
          <w:sz w:val="24"/>
        </w:rPr>
        <w:t> </w:t>
      </w:r>
      <w:r>
        <w:rPr>
          <w:sz w:val="24"/>
        </w:rPr>
        <w:t>S.</w:t>
      </w:r>
      <w:r>
        <w:rPr>
          <w:spacing w:val="32"/>
          <w:sz w:val="24"/>
        </w:rPr>
        <w:t> </w:t>
      </w:r>
      <w:r>
        <w:rPr>
          <w:sz w:val="24"/>
        </w:rPr>
        <w:t>(2012)</w:t>
      </w:r>
      <w:r>
        <w:rPr>
          <w:spacing w:val="31"/>
          <w:sz w:val="24"/>
        </w:rPr>
        <w:t> </w:t>
      </w:r>
      <w:r>
        <w:rPr>
          <w:sz w:val="24"/>
        </w:rPr>
        <w:t>Financial</w:t>
      </w:r>
      <w:r>
        <w:rPr>
          <w:spacing w:val="34"/>
          <w:sz w:val="24"/>
        </w:rPr>
        <w:t> </w:t>
      </w:r>
      <w:r>
        <w:rPr>
          <w:sz w:val="24"/>
        </w:rPr>
        <w:t>Ratios</w:t>
      </w:r>
      <w:r>
        <w:rPr>
          <w:spacing w:val="31"/>
          <w:sz w:val="24"/>
        </w:rPr>
        <w:t> </w:t>
      </w:r>
      <w:r>
        <w:rPr>
          <w:sz w:val="24"/>
        </w:rPr>
        <w:t>and</w:t>
      </w:r>
      <w:r>
        <w:rPr>
          <w:spacing w:val="32"/>
          <w:sz w:val="24"/>
        </w:rPr>
        <w:t> </w:t>
      </w:r>
      <w:r>
        <w:rPr>
          <w:sz w:val="24"/>
        </w:rPr>
        <w:t>Stock</w:t>
      </w:r>
      <w:r>
        <w:rPr>
          <w:spacing w:val="31"/>
          <w:sz w:val="24"/>
        </w:rPr>
        <w:t> </w:t>
      </w:r>
      <w:r>
        <w:rPr>
          <w:sz w:val="24"/>
        </w:rPr>
        <w:t>Return</w:t>
      </w:r>
      <w:r>
        <w:rPr>
          <w:spacing w:val="32"/>
          <w:sz w:val="24"/>
        </w:rPr>
        <w:t> </w:t>
      </w:r>
      <w:r>
        <w:rPr>
          <w:sz w:val="24"/>
        </w:rPr>
        <w:t>Predictability,</w:t>
      </w:r>
    </w:p>
    <w:p>
      <w:pPr>
        <w:spacing w:before="139"/>
        <w:ind w:left="940" w:right="0" w:firstLine="0"/>
        <w:jc w:val="left"/>
        <w:rPr>
          <w:sz w:val="24"/>
        </w:rPr>
      </w:pPr>
      <w:r>
        <w:rPr>
          <w:i/>
          <w:sz w:val="24"/>
        </w:rPr>
        <w:t>Research Journal of Finance and Accounting</w:t>
      </w:r>
      <w:r>
        <w:rPr>
          <w:sz w:val="24"/>
        </w:rPr>
        <w:t>, 3(10), 1-6</w:t>
      </w:r>
    </w:p>
    <w:p>
      <w:pPr>
        <w:pStyle w:val="ListParagraph"/>
        <w:numPr>
          <w:ilvl w:val="1"/>
          <w:numId w:val="3"/>
        </w:numPr>
        <w:tabs>
          <w:tab w:pos="941" w:val="left" w:leader="none"/>
        </w:tabs>
        <w:spacing w:line="360" w:lineRule="auto" w:before="137" w:after="0"/>
        <w:ind w:left="940" w:right="219" w:hanging="360"/>
        <w:jc w:val="left"/>
        <w:rPr>
          <w:sz w:val="24"/>
        </w:rPr>
      </w:pPr>
      <w:r>
        <w:rPr>
          <w:sz w:val="24"/>
        </w:rPr>
        <w:t>Kimmel, P. D., Weygandt, J. J. and Kieso, D. E. (2010) </w:t>
      </w:r>
      <w:r>
        <w:rPr>
          <w:i/>
          <w:sz w:val="24"/>
        </w:rPr>
        <w:t>Financial Accounting: Tools for </w:t>
      </w:r>
      <w:r>
        <w:rPr>
          <w:i/>
          <w:sz w:val="24"/>
        </w:rPr>
        <w:t>Business Decision Making</w:t>
      </w:r>
      <w:r>
        <w:rPr>
          <w:sz w:val="24"/>
        </w:rPr>
        <w:t>, 2</w:t>
      </w:r>
      <w:r>
        <w:rPr>
          <w:sz w:val="24"/>
          <w:vertAlign w:val="superscript"/>
        </w:rPr>
        <w:t>nd</w:t>
      </w:r>
      <w:r>
        <w:rPr>
          <w:sz w:val="24"/>
          <w:vertAlign w:val="baseline"/>
        </w:rPr>
        <w:t> ed. Oxford: Butterworth</w:t>
      </w:r>
      <w:r>
        <w:rPr>
          <w:spacing w:val="-2"/>
          <w:sz w:val="24"/>
          <w:vertAlign w:val="baseline"/>
        </w:rPr>
        <w:t> </w:t>
      </w:r>
      <w:r>
        <w:rPr>
          <w:sz w:val="24"/>
          <w:vertAlign w:val="baseline"/>
        </w:rPr>
        <w:t>Heinemann.</w:t>
      </w:r>
    </w:p>
    <w:p>
      <w:pPr>
        <w:pStyle w:val="ListParagraph"/>
        <w:numPr>
          <w:ilvl w:val="1"/>
          <w:numId w:val="3"/>
        </w:numPr>
        <w:tabs>
          <w:tab w:pos="941" w:val="left" w:leader="none"/>
        </w:tabs>
        <w:spacing w:line="360" w:lineRule="auto" w:before="0" w:after="0"/>
        <w:ind w:left="940" w:right="216" w:hanging="360"/>
        <w:jc w:val="left"/>
        <w:rPr>
          <w:sz w:val="24"/>
        </w:rPr>
      </w:pPr>
      <w:r>
        <w:rPr>
          <w:sz w:val="24"/>
        </w:rPr>
        <w:t>Koller, G. (2009) </w:t>
      </w:r>
      <w:r>
        <w:rPr>
          <w:i/>
          <w:sz w:val="24"/>
        </w:rPr>
        <w:t>Risk Assessment and Decision Making In Business and Industry</w:t>
      </w:r>
      <w:r>
        <w:rPr>
          <w:sz w:val="24"/>
        </w:rPr>
        <w:t>, 3</w:t>
      </w:r>
      <w:r>
        <w:rPr>
          <w:sz w:val="24"/>
          <w:vertAlign w:val="superscript"/>
        </w:rPr>
        <w:t>rd</w:t>
      </w:r>
      <w:r>
        <w:rPr>
          <w:sz w:val="24"/>
          <w:vertAlign w:val="baseline"/>
        </w:rPr>
        <w:t> ed. New York: John Wiley &amp;</w:t>
      </w:r>
      <w:r>
        <w:rPr>
          <w:spacing w:val="-9"/>
          <w:sz w:val="24"/>
          <w:vertAlign w:val="baseline"/>
        </w:rPr>
        <w:t> </w:t>
      </w:r>
      <w:r>
        <w:rPr>
          <w:sz w:val="24"/>
          <w:vertAlign w:val="baseline"/>
        </w:rPr>
        <w:t>Sons.</w:t>
      </w:r>
    </w:p>
    <w:p>
      <w:pPr>
        <w:pStyle w:val="ListParagraph"/>
        <w:numPr>
          <w:ilvl w:val="1"/>
          <w:numId w:val="3"/>
        </w:numPr>
        <w:tabs>
          <w:tab w:pos="941" w:val="left" w:leader="none"/>
        </w:tabs>
        <w:spacing w:line="360" w:lineRule="auto" w:before="1" w:after="0"/>
        <w:ind w:left="940" w:right="218" w:hanging="360"/>
        <w:jc w:val="left"/>
        <w:rPr>
          <w:sz w:val="24"/>
        </w:rPr>
      </w:pPr>
      <w:r>
        <w:rPr>
          <w:sz w:val="24"/>
        </w:rPr>
        <w:t>Lambert, R.A. and Larker D. F. (2008) Golden Parachutes, Executive Decision-Making, and Shareholder Wealth, </w:t>
      </w:r>
      <w:r>
        <w:rPr>
          <w:i/>
          <w:sz w:val="24"/>
        </w:rPr>
        <w:t>Journal of Accounting and Economics</w:t>
      </w:r>
      <w:r>
        <w:rPr>
          <w:sz w:val="24"/>
        </w:rPr>
        <w:t>,</w:t>
      </w:r>
      <w:r>
        <w:rPr>
          <w:spacing w:val="-2"/>
          <w:sz w:val="24"/>
        </w:rPr>
        <w:t> </w:t>
      </w:r>
      <w:r>
        <w:rPr>
          <w:sz w:val="24"/>
        </w:rPr>
        <w:t>179-203</w:t>
      </w:r>
    </w:p>
    <w:p>
      <w:pPr>
        <w:pStyle w:val="ListParagraph"/>
        <w:numPr>
          <w:ilvl w:val="1"/>
          <w:numId w:val="3"/>
        </w:numPr>
        <w:tabs>
          <w:tab w:pos="941" w:val="left" w:leader="none"/>
        </w:tabs>
        <w:spacing w:line="240" w:lineRule="auto" w:before="0" w:after="0"/>
        <w:ind w:left="940" w:right="0" w:hanging="361"/>
        <w:jc w:val="left"/>
        <w:rPr>
          <w:sz w:val="24"/>
        </w:rPr>
      </w:pPr>
      <w:r>
        <w:rPr>
          <w:sz w:val="24"/>
        </w:rPr>
        <w:t>Lemieux, V. (2013) </w:t>
      </w:r>
      <w:r>
        <w:rPr>
          <w:i/>
          <w:sz w:val="24"/>
        </w:rPr>
        <w:t>Financial Analysis and Risk Management, </w:t>
      </w:r>
      <w:r>
        <w:rPr>
          <w:sz w:val="24"/>
        </w:rPr>
        <w:t>6th ed. London:</w:t>
      </w:r>
      <w:r>
        <w:rPr>
          <w:spacing w:val="-12"/>
          <w:sz w:val="24"/>
        </w:rPr>
        <w:t> </w:t>
      </w:r>
      <w:r>
        <w:rPr>
          <w:sz w:val="24"/>
        </w:rPr>
        <w:t>Springer</w:t>
      </w:r>
    </w:p>
    <w:p>
      <w:pPr>
        <w:pStyle w:val="ListParagraph"/>
        <w:numPr>
          <w:ilvl w:val="1"/>
          <w:numId w:val="3"/>
        </w:numPr>
        <w:tabs>
          <w:tab w:pos="941" w:val="left" w:leader="none"/>
        </w:tabs>
        <w:spacing w:line="360" w:lineRule="auto" w:before="139" w:after="0"/>
        <w:ind w:left="940" w:right="221" w:hanging="360"/>
        <w:jc w:val="left"/>
        <w:rPr>
          <w:sz w:val="24"/>
        </w:rPr>
      </w:pPr>
      <w:r>
        <w:rPr>
          <w:sz w:val="24"/>
        </w:rPr>
        <w:t>Lence, S., Hayenga, M., &amp; Patterson, M. (2006). Storage profitability and hedge ratio estimation. </w:t>
      </w:r>
      <w:r>
        <w:rPr>
          <w:i/>
          <w:sz w:val="24"/>
        </w:rPr>
        <w:t>Journal Of Futures Markets</w:t>
      </w:r>
      <w:r>
        <w:rPr>
          <w:sz w:val="24"/>
        </w:rPr>
        <w:t>, </w:t>
      </w:r>
      <w:r>
        <w:rPr>
          <w:i/>
          <w:sz w:val="24"/>
        </w:rPr>
        <w:t>16</w:t>
      </w:r>
      <w:r>
        <w:rPr>
          <w:sz w:val="24"/>
        </w:rPr>
        <w:t>(6),</w:t>
      </w:r>
      <w:r>
        <w:rPr>
          <w:spacing w:val="-1"/>
          <w:sz w:val="24"/>
        </w:rPr>
        <w:t> </w:t>
      </w:r>
      <w:r>
        <w:rPr>
          <w:sz w:val="24"/>
        </w:rPr>
        <w:t>655--676.</w:t>
      </w:r>
    </w:p>
    <w:p>
      <w:pPr>
        <w:pStyle w:val="ListParagraph"/>
        <w:numPr>
          <w:ilvl w:val="1"/>
          <w:numId w:val="3"/>
        </w:numPr>
        <w:tabs>
          <w:tab w:pos="941" w:val="left" w:leader="none"/>
        </w:tabs>
        <w:spacing w:line="360" w:lineRule="auto" w:before="0" w:after="0"/>
        <w:ind w:left="940" w:right="228" w:hanging="360"/>
        <w:jc w:val="left"/>
        <w:rPr>
          <w:sz w:val="24"/>
        </w:rPr>
      </w:pPr>
      <w:r>
        <w:rPr>
          <w:sz w:val="24"/>
        </w:rPr>
        <w:t>Les'akov'a, L. (2007). Uses and Limitations of Profitability Ratio Analysis in Managerial Practice,</w:t>
      </w:r>
      <w:r>
        <w:rPr>
          <w:spacing w:val="-1"/>
          <w:sz w:val="24"/>
        </w:rPr>
        <w:t> </w:t>
      </w:r>
      <w:r>
        <w:rPr>
          <w:sz w:val="24"/>
        </w:rPr>
        <w:t>1--2.</w:t>
      </w:r>
    </w:p>
    <w:p>
      <w:pPr>
        <w:pStyle w:val="ListParagraph"/>
        <w:numPr>
          <w:ilvl w:val="1"/>
          <w:numId w:val="3"/>
        </w:numPr>
        <w:tabs>
          <w:tab w:pos="941" w:val="left" w:leader="none"/>
        </w:tabs>
        <w:spacing w:line="360" w:lineRule="auto" w:before="0" w:after="0"/>
        <w:ind w:left="940" w:right="218" w:hanging="360"/>
        <w:jc w:val="left"/>
        <w:rPr>
          <w:sz w:val="24"/>
        </w:rPr>
      </w:pPr>
      <w:r>
        <w:rPr>
          <w:sz w:val="24"/>
        </w:rPr>
        <w:t>Lewellen, J. (2004). Predicting returns with financial ratios. </w:t>
      </w:r>
      <w:r>
        <w:rPr>
          <w:i/>
          <w:sz w:val="24"/>
        </w:rPr>
        <w:t>Journal Of Financial </w:t>
      </w:r>
      <w:r>
        <w:rPr>
          <w:i/>
          <w:sz w:val="24"/>
        </w:rPr>
        <w:t>Economics</w:t>
      </w:r>
      <w:r>
        <w:rPr>
          <w:sz w:val="24"/>
        </w:rPr>
        <w:t>, </w:t>
      </w:r>
      <w:r>
        <w:rPr>
          <w:i/>
          <w:sz w:val="24"/>
        </w:rPr>
        <w:t>74</w:t>
      </w:r>
      <w:r>
        <w:rPr>
          <w:sz w:val="24"/>
        </w:rPr>
        <w:t>(2),</w:t>
      </w:r>
      <w:r>
        <w:rPr>
          <w:spacing w:val="-1"/>
          <w:sz w:val="24"/>
        </w:rPr>
        <w:t> </w:t>
      </w:r>
      <w:r>
        <w:rPr>
          <w:sz w:val="24"/>
        </w:rPr>
        <w:t>209--235.</w:t>
      </w:r>
    </w:p>
    <w:p>
      <w:pPr>
        <w:pStyle w:val="ListParagraph"/>
        <w:numPr>
          <w:ilvl w:val="1"/>
          <w:numId w:val="3"/>
        </w:numPr>
        <w:tabs>
          <w:tab w:pos="941" w:val="left" w:leader="none"/>
        </w:tabs>
        <w:spacing w:line="360" w:lineRule="auto" w:before="1" w:after="0"/>
        <w:ind w:left="940" w:right="218" w:hanging="360"/>
        <w:jc w:val="left"/>
        <w:rPr>
          <w:sz w:val="24"/>
        </w:rPr>
      </w:pPr>
      <w:r>
        <w:rPr>
          <w:sz w:val="24"/>
        </w:rPr>
        <w:t>Lewellen, J. (2008) Predicting returns with financial ratios, </w:t>
      </w:r>
      <w:r>
        <w:rPr>
          <w:i/>
          <w:sz w:val="24"/>
        </w:rPr>
        <w:t>Journal of Financial </w:t>
      </w:r>
      <w:r>
        <w:rPr>
          <w:i/>
          <w:sz w:val="24"/>
        </w:rPr>
        <w:t>Economics</w:t>
      </w:r>
      <w:r>
        <w:rPr>
          <w:sz w:val="24"/>
        </w:rPr>
        <w:t>, 74,</w:t>
      </w:r>
      <w:r>
        <w:rPr>
          <w:spacing w:val="-1"/>
          <w:sz w:val="24"/>
        </w:rPr>
        <w:t> </w:t>
      </w:r>
      <w:r>
        <w:rPr>
          <w:sz w:val="24"/>
        </w:rPr>
        <w:t>209–235.</w:t>
      </w:r>
    </w:p>
    <w:p>
      <w:pPr>
        <w:pStyle w:val="ListParagraph"/>
        <w:numPr>
          <w:ilvl w:val="1"/>
          <w:numId w:val="3"/>
        </w:numPr>
        <w:tabs>
          <w:tab w:pos="941" w:val="left" w:leader="none"/>
        </w:tabs>
        <w:spacing w:line="240" w:lineRule="auto" w:before="0" w:after="0"/>
        <w:ind w:left="940" w:right="0" w:hanging="361"/>
        <w:jc w:val="left"/>
        <w:rPr>
          <w:sz w:val="24"/>
        </w:rPr>
      </w:pPr>
      <w:r>
        <w:rPr>
          <w:sz w:val="24"/>
        </w:rPr>
        <w:t>Lewis, M. (2009). </w:t>
      </w:r>
      <w:r>
        <w:rPr>
          <w:i/>
          <w:sz w:val="24"/>
        </w:rPr>
        <w:t>Panic</w:t>
      </w:r>
      <w:r>
        <w:rPr>
          <w:sz w:val="24"/>
        </w:rPr>
        <w:t>. 1st ed. New York: W.W. Norton &amp;</w:t>
      </w:r>
      <w:r>
        <w:rPr>
          <w:spacing w:val="-2"/>
          <w:sz w:val="24"/>
        </w:rPr>
        <w:t> </w:t>
      </w:r>
      <w:r>
        <w:rPr>
          <w:sz w:val="24"/>
        </w:rPr>
        <w:t>Co.</w:t>
      </w:r>
    </w:p>
    <w:p>
      <w:pPr>
        <w:pStyle w:val="ListParagraph"/>
        <w:numPr>
          <w:ilvl w:val="1"/>
          <w:numId w:val="3"/>
        </w:numPr>
        <w:tabs>
          <w:tab w:pos="941" w:val="left" w:leader="none"/>
        </w:tabs>
        <w:spacing w:line="360" w:lineRule="auto" w:before="137" w:after="0"/>
        <w:ind w:left="940" w:right="216" w:hanging="360"/>
        <w:jc w:val="both"/>
        <w:rPr>
          <w:sz w:val="24"/>
        </w:rPr>
      </w:pPr>
      <w:r>
        <w:rPr>
          <w:sz w:val="24"/>
        </w:rPr>
        <w:t>McMillan, E. (2010). </w:t>
      </w:r>
      <w:r>
        <w:rPr>
          <w:i/>
          <w:sz w:val="24"/>
        </w:rPr>
        <w:t>Not-for-Profit Budgeting and Financial Management</w:t>
      </w:r>
      <w:r>
        <w:rPr>
          <w:sz w:val="24"/>
        </w:rPr>
        <w:t>. Hoboken: John Wiley &amp; Sons,</w:t>
      </w:r>
      <w:r>
        <w:rPr>
          <w:spacing w:val="-10"/>
          <w:sz w:val="24"/>
        </w:rPr>
        <w:t> </w:t>
      </w:r>
      <w:r>
        <w:rPr>
          <w:sz w:val="24"/>
        </w:rPr>
        <w:t>Inc.</w:t>
      </w:r>
    </w:p>
    <w:p>
      <w:pPr>
        <w:pStyle w:val="ListParagraph"/>
        <w:numPr>
          <w:ilvl w:val="1"/>
          <w:numId w:val="3"/>
        </w:numPr>
        <w:tabs>
          <w:tab w:pos="941" w:val="left" w:leader="none"/>
        </w:tabs>
        <w:spacing w:line="360" w:lineRule="auto" w:before="0" w:after="0"/>
        <w:ind w:left="940" w:right="216" w:hanging="360"/>
        <w:jc w:val="both"/>
        <w:rPr>
          <w:sz w:val="24"/>
        </w:rPr>
      </w:pPr>
      <w:r>
        <w:rPr>
          <w:sz w:val="24"/>
        </w:rPr>
        <w:t>Michaelas, N., Chittenden, F., &amp; Poutziouris, P. (1999). Financial policy and capital structure choice in UK SMEs: Empirical evidence from company panel data. </w:t>
      </w:r>
      <w:r>
        <w:rPr>
          <w:i/>
          <w:sz w:val="24"/>
        </w:rPr>
        <w:t>Small </w:t>
      </w:r>
      <w:r>
        <w:rPr>
          <w:i/>
          <w:sz w:val="24"/>
        </w:rPr>
        <w:t>Business Economics</w:t>
      </w:r>
      <w:r>
        <w:rPr>
          <w:sz w:val="24"/>
        </w:rPr>
        <w:t>, </w:t>
      </w:r>
      <w:r>
        <w:rPr>
          <w:i/>
          <w:sz w:val="24"/>
        </w:rPr>
        <w:t>12</w:t>
      </w:r>
      <w:r>
        <w:rPr>
          <w:sz w:val="24"/>
        </w:rPr>
        <w:t>(2),</w:t>
      </w:r>
      <w:r>
        <w:rPr>
          <w:spacing w:val="-1"/>
          <w:sz w:val="24"/>
        </w:rPr>
        <w:t> </w:t>
      </w:r>
      <w:r>
        <w:rPr>
          <w:sz w:val="24"/>
        </w:rPr>
        <w:t>113--130.</w:t>
      </w:r>
    </w:p>
    <w:p>
      <w:pPr>
        <w:pStyle w:val="ListParagraph"/>
        <w:numPr>
          <w:ilvl w:val="1"/>
          <w:numId w:val="3"/>
        </w:numPr>
        <w:tabs>
          <w:tab w:pos="941" w:val="left" w:leader="none"/>
        </w:tabs>
        <w:spacing w:line="240" w:lineRule="auto" w:before="201" w:after="0"/>
        <w:ind w:left="940" w:right="0" w:hanging="361"/>
        <w:jc w:val="both"/>
        <w:rPr>
          <w:sz w:val="24"/>
        </w:rPr>
      </w:pPr>
      <w:r>
        <w:rPr>
          <w:sz w:val="24"/>
        </w:rPr>
        <w:t>Minns, R. (2001). </w:t>
      </w:r>
      <w:r>
        <w:rPr>
          <w:i/>
          <w:sz w:val="24"/>
        </w:rPr>
        <w:t>The cold war in welfare</w:t>
      </w:r>
      <w:r>
        <w:rPr>
          <w:sz w:val="24"/>
        </w:rPr>
        <w:t>. 1st ed. London:</w:t>
      </w:r>
      <w:r>
        <w:rPr>
          <w:spacing w:val="-5"/>
          <w:sz w:val="24"/>
        </w:rPr>
        <w:t> </w:t>
      </w:r>
      <w:r>
        <w:rPr>
          <w:sz w:val="24"/>
        </w:rPr>
        <w:t>VERSO.</w:t>
      </w:r>
    </w:p>
    <w:p>
      <w:pPr>
        <w:pStyle w:val="BodyText"/>
        <w:spacing w:before="6"/>
        <w:rPr>
          <w:sz w:val="27"/>
        </w:rPr>
      </w:pPr>
    </w:p>
    <w:p>
      <w:pPr>
        <w:pStyle w:val="ListParagraph"/>
        <w:numPr>
          <w:ilvl w:val="1"/>
          <w:numId w:val="3"/>
        </w:numPr>
        <w:tabs>
          <w:tab w:pos="941" w:val="left" w:leader="none"/>
        </w:tabs>
        <w:spacing w:line="360" w:lineRule="auto" w:before="0" w:after="0"/>
        <w:ind w:left="940" w:right="219" w:hanging="360"/>
        <w:jc w:val="left"/>
        <w:rPr>
          <w:sz w:val="24"/>
        </w:rPr>
      </w:pPr>
      <w:r>
        <w:rPr>
          <w:sz w:val="24"/>
        </w:rPr>
        <w:t>Morley, M. (2004). </w:t>
      </w:r>
      <w:r>
        <w:rPr>
          <w:i/>
          <w:sz w:val="24"/>
        </w:rPr>
        <w:t>Ratio analysis</w:t>
      </w:r>
      <w:r>
        <w:rPr>
          <w:sz w:val="24"/>
        </w:rPr>
        <w:t>. Berkshire, England: Published for the Institute of Chartered Accountants of Scotland by Gee &amp;</w:t>
      </w:r>
      <w:r>
        <w:rPr>
          <w:spacing w:val="-5"/>
          <w:sz w:val="24"/>
        </w:rPr>
        <w:t> </w:t>
      </w:r>
      <w:r>
        <w:rPr>
          <w:sz w:val="24"/>
        </w:rPr>
        <w:t>Co.</w:t>
      </w:r>
    </w:p>
    <w:p>
      <w:pPr>
        <w:pStyle w:val="BodyText"/>
        <w:rPr>
          <w:sz w:val="20"/>
        </w:rPr>
      </w:pPr>
    </w:p>
    <w:p>
      <w:pPr>
        <w:pStyle w:val="BodyText"/>
        <w:rPr>
          <w:sz w:val="20"/>
        </w:rPr>
      </w:pPr>
    </w:p>
    <w:p>
      <w:pPr>
        <w:pStyle w:val="BodyText"/>
        <w:spacing w:before="7"/>
        <w:rPr>
          <w:sz w:val="13"/>
        </w:rPr>
      </w:pPr>
      <w:r>
        <w:rPr/>
        <w:pict>
          <v:group style="position:absolute;margin-left:281.25pt;margin-top:9.810047pt;width:49.35pt;height:49.35pt;mso-position-horizontal-relative:page;mso-position-vertical-relative:paragraph;z-index:-251616256;mso-wrap-distance-left:0;mso-wrap-distance-right:0" coordorigin="5625,196" coordsize="987,987">
            <v:shape style="position:absolute;left:5625;top:196;width:987;height:987" coordorigin="5625,196" coordsize="987,987" path="m6119,196l6046,202,5976,217,5911,242,5850,276,5795,317,5746,366,5705,421,5671,482,5646,547,5630,617,5625,690,5630,763,5646,832,5671,898,5705,958,5746,1013,5795,1062,5850,1104,5911,1137,5976,1162,6046,1178,6119,1183,6191,1178,6261,1162,6327,1137,6387,1104,6442,1062,6491,1013,6532,958,6566,898,6591,832,6607,763,6612,690,6607,617,6591,547,6566,482,6532,421,6491,366,6442,317,6387,276,6327,242,6261,217,6191,202,6119,196xe" filled="true" fillcolor="#375f92" stroked="false">
              <v:path arrowok="t"/>
              <v:fill type="solid"/>
            </v:shape>
            <v:shape style="position:absolute;left:5769;top:413;width:699;height:555" type="#_x0000_t75" stroked="false">
              <v:imagedata r:id="rId10" o:title=""/>
            </v:shape>
            <v:shape style="position:absolute;left:5625;top:196;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15</w:t>
                    </w:r>
                  </w:p>
                </w:txbxContent>
              </v:textbox>
              <w10:wrap type="none"/>
            </v:shape>
            <w10:wrap type="topAndBottom"/>
          </v:group>
        </w:pict>
      </w:r>
    </w:p>
    <w:p>
      <w:pPr>
        <w:spacing w:after="0"/>
        <w:rPr>
          <w:sz w:val="13"/>
        </w:rPr>
        <w:sectPr>
          <w:pgSz w:w="12240" w:h="15840"/>
          <w:pgMar w:top="1360" w:bottom="0" w:left="1220" w:right="1220"/>
        </w:sectPr>
      </w:pPr>
    </w:p>
    <w:p>
      <w:pPr>
        <w:pStyle w:val="ListParagraph"/>
        <w:numPr>
          <w:ilvl w:val="1"/>
          <w:numId w:val="3"/>
        </w:numPr>
        <w:tabs>
          <w:tab w:pos="941" w:val="left" w:leader="none"/>
        </w:tabs>
        <w:spacing w:line="360" w:lineRule="auto" w:before="114" w:after="0"/>
        <w:ind w:left="940" w:right="216" w:hanging="360"/>
        <w:jc w:val="left"/>
        <w:rPr>
          <w:sz w:val="24"/>
        </w:rPr>
      </w:pPr>
      <w:r>
        <w:rPr/>
        <w:pict>
          <v:group style="position:absolute;margin-left:24pt;margin-top:24pt;width:564.15pt;height:768.15pt;mso-position-horizontal-relative:page;mso-position-vertical-relative:page;z-index:-253556736"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sz w:val="24"/>
        </w:rPr>
        <w:t>Narayanan, M.P. and Nanda, V. K. (2008) </w:t>
      </w:r>
      <w:r>
        <w:rPr>
          <w:i/>
          <w:sz w:val="24"/>
        </w:rPr>
        <w:t>Finance For Strategic Decision Making</w:t>
      </w:r>
      <w:r>
        <w:rPr>
          <w:sz w:val="24"/>
        </w:rPr>
        <w:t>, 5</w:t>
      </w:r>
      <w:r>
        <w:rPr>
          <w:sz w:val="24"/>
          <w:vertAlign w:val="superscript"/>
        </w:rPr>
        <w:t>th</w:t>
      </w:r>
      <w:r>
        <w:rPr>
          <w:sz w:val="24"/>
          <w:vertAlign w:val="baseline"/>
        </w:rPr>
        <w:t> ed. London:</w:t>
      </w:r>
      <w:r>
        <w:rPr>
          <w:spacing w:val="1"/>
          <w:sz w:val="24"/>
          <w:vertAlign w:val="baseline"/>
        </w:rPr>
        <w:t> </w:t>
      </w:r>
      <w:r>
        <w:rPr>
          <w:sz w:val="24"/>
          <w:vertAlign w:val="baseline"/>
        </w:rPr>
        <w:t>Routledge.</w:t>
      </w:r>
    </w:p>
    <w:p>
      <w:pPr>
        <w:pStyle w:val="ListParagraph"/>
        <w:numPr>
          <w:ilvl w:val="1"/>
          <w:numId w:val="3"/>
        </w:numPr>
        <w:tabs>
          <w:tab w:pos="941" w:val="left" w:leader="none"/>
        </w:tabs>
        <w:spacing w:line="360" w:lineRule="auto" w:before="1" w:after="0"/>
        <w:ind w:left="940" w:right="219" w:hanging="360"/>
        <w:jc w:val="left"/>
        <w:rPr>
          <w:sz w:val="24"/>
        </w:rPr>
      </w:pPr>
      <w:r>
        <w:rPr>
          <w:sz w:val="24"/>
        </w:rPr>
        <w:t>Norman, A. S. (2010) Importance of financial education in making informed decision on spending, </w:t>
      </w:r>
      <w:r>
        <w:rPr>
          <w:i/>
          <w:sz w:val="24"/>
        </w:rPr>
        <w:t>Journal of Economics and International Finance </w:t>
      </w:r>
      <w:r>
        <w:rPr>
          <w:sz w:val="24"/>
        </w:rPr>
        <w:t>2(10), pp. 199-207,</w:t>
      </w:r>
    </w:p>
    <w:p>
      <w:pPr>
        <w:pStyle w:val="ListParagraph"/>
        <w:numPr>
          <w:ilvl w:val="1"/>
          <w:numId w:val="3"/>
        </w:numPr>
        <w:tabs>
          <w:tab w:pos="941" w:val="left" w:leader="none"/>
        </w:tabs>
        <w:spacing w:line="360" w:lineRule="auto" w:before="0" w:after="0"/>
        <w:ind w:left="940" w:right="219" w:hanging="360"/>
        <w:jc w:val="left"/>
        <w:rPr>
          <w:sz w:val="24"/>
        </w:rPr>
      </w:pPr>
      <w:r>
        <w:rPr>
          <w:sz w:val="24"/>
        </w:rPr>
        <w:t>Ohlson, J. (2000). Financial ratios and the probabilistic prediction of bankruptcy. </w:t>
      </w:r>
      <w:r>
        <w:rPr>
          <w:i/>
          <w:sz w:val="24"/>
        </w:rPr>
        <w:t>Journal </w:t>
      </w:r>
      <w:r>
        <w:rPr>
          <w:i/>
          <w:sz w:val="24"/>
        </w:rPr>
        <w:t>Of Accounting Research</w:t>
      </w:r>
      <w:r>
        <w:rPr>
          <w:sz w:val="24"/>
        </w:rPr>
        <w:t>,</w:t>
      </w:r>
      <w:r>
        <w:rPr>
          <w:spacing w:val="1"/>
          <w:sz w:val="24"/>
        </w:rPr>
        <w:t> </w:t>
      </w:r>
      <w:r>
        <w:rPr>
          <w:sz w:val="24"/>
        </w:rPr>
        <w:t>109--131.</w:t>
      </w:r>
    </w:p>
    <w:p>
      <w:pPr>
        <w:pStyle w:val="ListParagraph"/>
        <w:numPr>
          <w:ilvl w:val="1"/>
          <w:numId w:val="3"/>
        </w:numPr>
        <w:tabs>
          <w:tab w:pos="941" w:val="left" w:leader="none"/>
        </w:tabs>
        <w:spacing w:line="360" w:lineRule="auto" w:before="0" w:after="0"/>
        <w:ind w:left="940" w:right="218" w:hanging="360"/>
        <w:jc w:val="left"/>
        <w:rPr>
          <w:sz w:val="24"/>
        </w:rPr>
      </w:pPr>
      <w:r>
        <w:rPr>
          <w:sz w:val="24"/>
        </w:rPr>
        <w:t>Palmer, J. (2003). </w:t>
      </w:r>
      <w:r>
        <w:rPr>
          <w:i/>
          <w:sz w:val="24"/>
        </w:rPr>
        <w:t>Financial ratio analysis</w:t>
      </w:r>
      <w:r>
        <w:rPr>
          <w:sz w:val="24"/>
        </w:rPr>
        <w:t>. New York, N.Y.: American Institute of Certified Public</w:t>
      </w:r>
      <w:r>
        <w:rPr>
          <w:spacing w:val="-2"/>
          <w:sz w:val="24"/>
        </w:rPr>
        <w:t> </w:t>
      </w:r>
      <w:r>
        <w:rPr>
          <w:sz w:val="24"/>
        </w:rPr>
        <w:t>Accountants.</w:t>
      </w:r>
    </w:p>
    <w:p>
      <w:pPr>
        <w:pStyle w:val="ListParagraph"/>
        <w:numPr>
          <w:ilvl w:val="1"/>
          <w:numId w:val="3"/>
        </w:numPr>
        <w:tabs>
          <w:tab w:pos="941" w:val="left" w:leader="none"/>
        </w:tabs>
        <w:spacing w:line="360" w:lineRule="auto" w:before="200" w:after="0"/>
        <w:ind w:left="940" w:right="219" w:hanging="360"/>
        <w:jc w:val="left"/>
        <w:rPr>
          <w:sz w:val="24"/>
        </w:rPr>
      </w:pPr>
      <w:r>
        <w:rPr>
          <w:sz w:val="24"/>
        </w:rPr>
        <w:t>Pelgrin, F., Schich, S. and Serres, A. (2002). </w:t>
      </w:r>
      <w:r>
        <w:rPr>
          <w:i/>
          <w:sz w:val="24"/>
        </w:rPr>
        <w:t>Increases in Business Investment Rates in </w:t>
      </w:r>
      <w:r>
        <w:rPr>
          <w:i/>
          <w:sz w:val="24"/>
        </w:rPr>
        <w:t>OECD Countries in the 1990s</w:t>
      </w:r>
      <w:r>
        <w:rPr>
          <w:sz w:val="24"/>
        </w:rPr>
        <w:t>. 1st ed. Paris:</w:t>
      </w:r>
      <w:r>
        <w:rPr>
          <w:spacing w:val="-2"/>
          <w:sz w:val="24"/>
        </w:rPr>
        <w:t> </w:t>
      </w:r>
      <w:r>
        <w:rPr>
          <w:sz w:val="24"/>
        </w:rPr>
        <w:t>OECD.</w:t>
      </w:r>
    </w:p>
    <w:p>
      <w:pPr>
        <w:pStyle w:val="ListParagraph"/>
        <w:numPr>
          <w:ilvl w:val="1"/>
          <w:numId w:val="3"/>
        </w:numPr>
        <w:tabs>
          <w:tab w:pos="941" w:val="left" w:leader="none"/>
        </w:tabs>
        <w:spacing w:line="240" w:lineRule="auto" w:before="180" w:after="0"/>
        <w:ind w:left="940" w:right="0" w:hanging="361"/>
        <w:jc w:val="left"/>
        <w:rPr>
          <w:sz w:val="24"/>
        </w:rPr>
      </w:pPr>
      <w:r>
        <w:rPr>
          <w:sz w:val="24"/>
        </w:rPr>
        <w:t>Plummer, T. (2010). </w:t>
      </w:r>
      <w:r>
        <w:rPr>
          <w:i/>
          <w:sz w:val="24"/>
        </w:rPr>
        <w:t>Forecasting financial markets</w:t>
      </w:r>
      <w:r>
        <w:rPr>
          <w:sz w:val="24"/>
        </w:rPr>
        <w:t>. London: Kogan</w:t>
      </w:r>
      <w:r>
        <w:rPr>
          <w:spacing w:val="-1"/>
          <w:sz w:val="24"/>
        </w:rPr>
        <w:t> </w:t>
      </w:r>
      <w:r>
        <w:rPr>
          <w:sz w:val="24"/>
        </w:rPr>
        <w:t>Page.</w:t>
      </w:r>
    </w:p>
    <w:p>
      <w:pPr>
        <w:pStyle w:val="ListParagraph"/>
        <w:numPr>
          <w:ilvl w:val="1"/>
          <w:numId w:val="3"/>
        </w:numPr>
        <w:tabs>
          <w:tab w:pos="941" w:val="left" w:leader="none"/>
        </w:tabs>
        <w:spacing w:line="360" w:lineRule="auto" w:before="139" w:after="0"/>
        <w:ind w:left="940" w:right="219" w:hanging="360"/>
        <w:jc w:val="left"/>
        <w:rPr>
          <w:sz w:val="24"/>
        </w:rPr>
      </w:pPr>
      <w:r>
        <w:rPr>
          <w:sz w:val="24"/>
        </w:rPr>
        <w:t>Porter, G. A. and Norton, C. </w:t>
      </w:r>
      <w:r>
        <w:rPr>
          <w:spacing w:val="-3"/>
          <w:sz w:val="24"/>
        </w:rPr>
        <w:t>L. </w:t>
      </w:r>
      <w:r>
        <w:rPr>
          <w:sz w:val="24"/>
        </w:rPr>
        <w:t>(2010) </w:t>
      </w:r>
      <w:r>
        <w:rPr>
          <w:i/>
          <w:sz w:val="24"/>
        </w:rPr>
        <w:t>Financial Accounting: The Impact on Decision </w:t>
      </w:r>
      <w:r>
        <w:rPr>
          <w:i/>
          <w:sz w:val="24"/>
        </w:rPr>
        <w:t>Makers - Page 59</w:t>
      </w:r>
      <w:r>
        <w:rPr>
          <w:sz w:val="24"/>
        </w:rPr>
        <w:t>, 4</w:t>
      </w:r>
      <w:r>
        <w:rPr>
          <w:sz w:val="24"/>
          <w:vertAlign w:val="superscript"/>
        </w:rPr>
        <w:t>th</w:t>
      </w:r>
      <w:r>
        <w:rPr>
          <w:sz w:val="24"/>
          <w:vertAlign w:val="baseline"/>
        </w:rPr>
        <w:t> ed. London: McGra-Hill Higher</w:t>
      </w:r>
      <w:r>
        <w:rPr>
          <w:spacing w:val="-2"/>
          <w:sz w:val="24"/>
          <w:vertAlign w:val="baseline"/>
        </w:rPr>
        <w:t> </w:t>
      </w:r>
      <w:r>
        <w:rPr>
          <w:sz w:val="24"/>
          <w:vertAlign w:val="baseline"/>
        </w:rPr>
        <w:t>Education</w:t>
      </w:r>
    </w:p>
    <w:p>
      <w:pPr>
        <w:pStyle w:val="ListParagraph"/>
        <w:numPr>
          <w:ilvl w:val="1"/>
          <w:numId w:val="3"/>
        </w:numPr>
        <w:tabs>
          <w:tab w:pos="941" w:val="left" w:leader="none"/>
        </w:tabs>
        <w:spacing w:line="360" w:lineRule="auto" w:before="199" w:after="0"/>
        <w:ind w:left="940" w:right="218" w:hanging="360"/>
        <w:jc w:val="left"/>
        <w:rPr>
          <w:sz w:val="24"/>
        </w:rPr>
      </w:pPr>
      <w:r>
        <w:rPr>
          <w:sz w:val="24"/>
        </w:rPr>
        <w:t>Posner, E. (2009). </w:t>
      </w:r>
      <w:r>
        <w:rPr>
          <w:i/>
          <w:sz w:val="24"/>
        </w:rPr>
        <w:t>The origins of Europe's new stock markets</w:t>
      </w:r>
      <w:r>
        <w:rPr>
          <w:sz w:val="24"/>
        </w:rPr>
        <w:t>. 1st ed. Cambridge, Mass.: Harvard University</w:t>
      </w:r>
      <w:r>
        <w:rPr>
          <w:spacing w:val="-6"/>
          <w:sz w:val="24"/>
        </w:rPr>
        <w:t> </w:t>
      </w:r>
      <w:r>
        <w:rPr>
          <w:sz w:val="24"/>
        </w:rPr>
        <w:t>Press.</w:t>
      </w:r>
    </w:p>
    <w:p>
      <w:pPr>
        <w:pStyle w:val="ListParagraph"/>
        <w:numPr>
          <w:ilvl w:val="1"/>
          <w:numId w:val="3"/>
        </w:numPr>
        <w:tabs>
          <w:tab w:pos="941" w:val="left" w:leader="none"/>
        </w:tabs>
        <w:spacing w:line="360" w:lineRule="auto" w:before="181" w:after="0"/>
        <w:ind w:left="940" w:right="217" w:hanging="360"/>
        <w:jc w:val="left"/>
        <w:rPr>
          <w:sz w:val="24"/>
        </w:rPr>
      </w:pPr>
      <w:r>
        <w:rPr>
          <w:sz w:val="24"/>
        </w:rPr>
        <w:t>Rao, B. (2006). Investment ratio and growth. </w:t>
      </w:r>
      <w:r>
        <w:rPr>
          <w:i/>
          <w:sz w:val="24"/>
        </w:rPr>
        <w:t>ICFAI Journal Of Applied Economics</w:t>
      </w:r>
      <w:r>
        <w:rPr>
          <w:sz w:val="24"/>
        </w:rPr>
        <w:t>, </w:t>
      </w:r>
      <w:r>
        <w:rPr>
          <w:i/>
          <w:sz w:val="24"/>
        </w:rPr>
        <w:t>3</w:t>
      </w:r>
      <w:r>
        <w:rPr>
          <w:sz w:val="24"/>
        </w:rPr>
        <w:t>(2), 68--72.</w:t>
      </w:r>
    </w:p>
    <w:p>
      <w:pPr>
        <w:pStyle w:val="ListParagraph"/>
        <w:numPr>
          <w:ilvl w:val="1"/>
          <w:numId w:val="3"/>
        </w:numPr>
        <w:tabs>
          <w:tab w:pos="941" w:val="left" w:leader="none"/>
        </w:tabs>
        <w:spacing w:line="360" w:lineRule="auto" w:before="0" w:after="0"/>
        <w:ind w:left="940" w:right="216" w:hanging="360"/>
        <w:jc w:val="left"/>
        <w:rPr>
          <w:sz w:val="24"/>
        </w:rPr>
      </w:pPr>
      <w:r>
        <w:rPr>
          <w:sz w:val="24"/>
        </w:rPr>
        <w:t>Rao, B., Singh, R., &amp; Gounder, N. (2007). Investment ratio in growth equations. </w:t>
      </w:r>
      <w:r>
        <w:rPr>
          <w:i/>
          <w:sz w:val="24"/>
        </w:rPr>
        <w:t>Applied </w:t>
      </w:r>
      <w:r>
        <w:rPr>
          <w:i/>
          <w:sz w:val="24"/>
        </w:rPr>
        <w:t>Economics Letters</w:t>
      </w:r>
      <w:r>
        <w:rPr>
          <w:sz w:val="24"/>
        </w:rPr>
        <w:t>, </w:t>
      </w:r>
      <w:r>
        <w:rPr>
          <w:i/>
          <w:sz w:val="24"/>
        </w:rPr>
        <w:t>14</w:t>
      </w:r>
      <w:r>
        <w:rPr>
          <w:sz w:val="24"/>
        </w:rPr>
        <w:t>(8),</w:t>
      </w:r>
      <w:r>
        <w:rPr>
          <w:spacing w:val="-1"/>
          <w:sz w:val="24"/>
        </w:rPr>
        <w:t> </w:t>
      </w:r>
      <w:r>
        <w:rPr>
          <w:sz w:val="24"/>
        </w:rPr>
        <w:t>565--568.</w:t>
      </w:r>
    </w:p>
    <w:p>
      <w:pPr>
        <w:pStyle w:val="ListParagraph"/>
        <w:numPr>
          <w:ilvl w:val="1"/>
          <w:numId w:val="3"/>
        </w:numPr>
        <w:tabs>
          <w:tab w:pos="941" w:val="left" w:leader="none"/>
        </w:tabs>
        <w:spacing w:line="360" w:lineRule="auto" w:before="0" w:after="0"/>
        <w:ind w:left="940" w:right="216" w:hanging="360"/>
        <w:jc w:val="left"/>
        <w:rPr>
          <w:sz w:val="24"/>
        </w:rPr>
      </w:pPr>
      <w:r>
        <w:rPr>
          <w:sz w:val="24"/>
        </w:rPr>
        <w:t>Robinson, T. (2012). </w:t>
      </w:r>
      <w:r>
        <w:rPr>
          <w:i/>
          <w:sz w:val="24"/>
        </w:rPr>
        <w:t>International financial statement analysis</w:t>
      </w:r>
      <w:r>
        <w:rPr>
          <w:sz w:val="24"/>
        </w:rPr>
        <w:t>. 1st ed. Hoboken, N.J.: John Wiley &amp;</w:t>
      </w:r>
      <w:r>
        <w:rPr>
          <w:spacing w:val="-11"/>
          <w:sz w:val="24"/>
        </w:rPr>
        <w:t> </w:t>
      </w:r>
      <w:r>
        <w:rPr>
          <w:sz w:val="24"/>
        </w:rPr>
        <w:t>Sons.</w:t>
      </w:r>
    </w:p>
    <w:p>
      <w:pPr>
        <w:pStyle w:val="ListParagraph"/>
        <w:numPr>
          <w:ilvl w:val="1"/>
          <w:numId w:val="3"/>
        </w:numPr>
        <w:tabs>
          <w:tab w:pos="941" w:val="left" w:leader="none"/>
        </w:tabs>
        <w:spacing w:line="240" w:lineRule="auto" w:before="0" w:after="0"/>
        <w:ind w:left="940" w:right="0" w:hanging="361"/>
        <w:jc w:val="left"/>
        <w:rPr>
          <w:sz w:val="24"/>
        </w:rPr>
      </w:pPr>
      <w:r>
        <w:rPr>
          <w:sz w:val="24"/>
        </w:rPr>
        <w:t>Rodgers, P. (2008). </w:t>
      </w:r>
      <w:r>
        <w:rPr>
          <w:i/>
          <w:sz w:val="24"/>
        </w:rPr>
        <w:t>Financial analysis</w:t>
      </w:r>
      <w:r>
        <w:rPr>
          <w:sz w:val="24"/>
        </w:rPr>
        <w:t>. 1st ed. Oxford:</w:t>
      </w:r>
      <w:r>
        <w:rPr>
          <w:spacing w:val="-2"/>
          <w:sz w:val="24"/>
        </w:rPr>
        <w:t> </w:t>
      </w:r>
      <w:r>
        <w:rPr>
          <w:sz w:val="24"/>
        </w:rPr>
        <w:t>CIMA.</w:t>
      </w:r>
    </w:p>
    <w:p>
      <w:pPr>
        <w:pStyle w:val="ListParagraph"/>
        <w:numPr>
          <w:ilvl w:val="1"/>
          <w:numId w:val="3"/>
        </w:numPr>
        <w:tabs>
          <w:tab w:pos="941" w:val="left" w:leader="none"/>
        </w:tabs>
        <w:spacing w:line="362" w:lineRule="auto" w:before="137" w:after="0"/>
        <w:ind w:left="940" w:right="223" w:hanging="360"/>
        <w:jc w:val="left"/>
        <w:rPr>
          <w:sz w:val="24"/>
        </w:rPr>
      </w:pPr>
      <w:r>
        <w:rPr>
          <w:sz w:val="24"/>
        </w:rPr>
        <w:t>Sangvinatsos, A. and Wachter, J A. (2006) Does the failure of the expectations hypothesis matter for long-term investors? </w:t>
      </w:r>
      <w:r>
        <w:rPr>
          <w:i/>
          <w:sz w:val="24"/>
        </w:rPr>
        <w:t>Journal of Finance, </w:t>
      </w:r>
      <w:r>
        <w:rPr>
          <w:sz w:val="24"/>
        </w:rPr>
        <w:t>60,</w:t>
      </w:r>
      <w:r>
        <w:rPr>
          <w:spacing w:val="-1"/>
          <w:sz w:val="24"/>
        </w:rPr>
        <w:t> </w:t>
      </w:r>
      <w:r>
        <w:rPr>
          <w:sz w:val="24"/>
        </w:rPr>
        <w:t>179–230</w:t>
      </w:r>
    </w:p>
    <w:p>
      <w:pPr>
        <w:pStyle w:val="ListParagraph"/>
        <w:numPr>
          <w:ilvl w:val="1"/>
          <w:numId w:val="3"/>
        </w:numPr>
        <w:tabs>
          <w:tab w:pos="941" w:val="left" w:leader="none"/>
        </w:tabs>
        <w:spacing w:line="360" w:lineRule="auto" w:before="0" w:after="0"/>
        <w:ind w:left="940" w:right="218" w:hanging="360"/>
        <w:jc w:val="left"/>
        <w:rPr>
          <w:sz w:val="24"/>
        </w:rPr>
      </w:pPr>
      <w:r>
        <w:rPr>
          <w:sz w:val="24"/>
        </w:rPr>
        <w:t>Sanzo, R. (2000). </w:t>
      </w:r>
      <w:r>
        <w:rPr>
          <w:i/>
          <w:sz w:val="24"/>
        </w:rPr>
        <w:t>Ratio analysis for small business</w:t>
      </w:r>
      <w:r>
        <w:rPr>
          <w:sz w:val="24"/>
        </w:rPr>
        <w:t>. Washington: Small Business Administration; [for sale by the Supt. of Docs., U.S. Govt. Print.</w:t>
      </w:r>
      <w:r>
        <w:rPr>
          <w:spacing w:val="-9"/>
          <w:sz w:val="24"/>
        </w:rPr>
        <w:t> </w:t>
      </w:r>
      <w:r>
        <w:rPr>
          <w:sz w:val="24"/>
        </w:rPr>
        <w:t>Off.].</w:t>
      </w:r>
    </w:p>
    <w:p>
      <w:pPr>
        <w:pStyle w:val="ListParagraph"/>
        <w:numPr>
          <w:ilvl w:val="1"/>
          <w:numId w:val="3"/>
        </w:numPr>
        <w:tabs>
          <w:tab w:pos="941" w:val="left" w:leader="none"/>
        </w:tabs>
        <w:spacing w:line="360" w:lineRule="auto" w:before="196" w:after="0"/>
        <w:ind w:left="940" w:right="216" w:hanging="360"/>
        <w:jc w:val="left"/>
        <w:rPr>
          <w:sz w:val="24"/>
        </w:rPr>
      </w:pPr>
      <w:r>
        <w:rPr>
          <w:sz w:val="24"/>
        </w:rPr>
        <w:t>Satchell, S. (2007). </w:t>
      </w:r>
      <w:r>
        <w:rPr>
          <w:i/>
          <w:sz w:val="24"/>
        </w:rPr>
        <w:t>Forecasting expected returns in the financial markets</w:t>
      </w:r>
      <w:r>
        <w:rPr>
          <w:sz w:val="24"/>
        </w:rPr>
        <w:t>. 1st ed. Oxford: Elsevier/AP.</w:t>
      </w:r>
    </w:p>
    <w:p>
      <w:pPr>
        <w:pStyle w:val="BodyText"/>
        <w:rPr>
          <w:sz w:val="20"/>
        </w:rPr>
      </w:pPr>
    </w:p>
    <w:p>
      <w:pPr>
        <w:pStyle w:val="BodyText"/>
        <w:rPr>
          <w:sz w:val="19"/>
        </w:rPr>
      </w:pPr>
      <w:r>
        <w:rPr/>
        <w:pict>
          <v:group style="position:absolute;margin-left:281.25pt;margin-top:12.922047pt;width:49.35pt;height:49.35pt;mso-position-horizontal-relative:page;mso-position-vertical-relative:paragraph;z-index:-251613184;mso-wrap-distance-left:0;mso-wrap-distance-right:0" coordorigin="5625,258" coordsize="987,987">
            <v:shape style="position:absolute;left:5625;top:258;width:987;height:987" coordorigin="5625,258" coordsize="987,987" path="m6119,258l6046,264,5976,279,5911,304,5850,338,5795,379,5746,428,5705,483,5671,544,5646,609,5630,679,5625,752,5630,825,5646,894,5671,960,5705,1021,5746,1076,5795,1124,5850,1166,5911,1200,5976,1225,6046,1240,6119,1245,6191,1240,6261,1225,6327,1200,6387,1166,6442,1124,6491,1076,6532,1021,6566,960,6591,894,6607,825,6612,752,6607,679,6591,609,6566,544,6532,483,6491,428,6442,379,6387,338,6327,304,6261,279,6191,264,6119,258xe" filled="true" fillcolor="#375f92" stroked="false">
              <v:path arrowok="t"/>
              <v:fill type="solid"/>
            </v:shape>
            <v:shape style="position:absolute;left:5769;top:475;width:699;height:555" type="#_x0000_t75" stroked="false">
              <v:imagedata r:id="rId10" o:title=""/>
            </v:shape>
            <v:shape style="position:absolute;left:5625;top:258;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16</w:t>
                    </w:r>
                  </w:p>
                </w:txbxContent>
              </v:textbox>
              <w10:wrap type="none"/>
            </v:shape>
            <w10:wrap type="topAndBottom"/>
          </v:group>
        </w:pict>
      </w:r>
    </w:p>
    <w:p>
      <w:pPr>
        <w:spacing w:after="0"/>
        <w:rPr>
          <w:sz w:val="19"/>
        </w:rPr>
        <w:sectPr>
          <w:pgSz w:w="12240" w:h="15840"/>
          <w:pgMar w:top="1320" w:bottom="0" w:left="1220" w:right="1220"/>
        </w:sectPr>
      </w:pPr>
    </w:p>
    <w:p>
      <w:pPr>
        <w:pStyle w:val="ListParagraph"/>
        <w:numPr>
          <w:ilvl w:val="1"/>
          <w:numId w:val="3"/>
        </w:numPr>
        <w:tabs>
          <w:tab w:pos="941" w:val="left" w:leader="none"/>
        </w:tabs>
        <w:spacing w:line="360" w:lineRule="auto" w:before="74" w:after="0"/>
        <w:ind w:left="940" w:right="215" w:hanging="360"/>
        <w:jc w:val="both"/>
        <w:rPr>
          <w:sz w:val="24"/>
        </w:rPr>
      </w:pPr>
      <w:r>
        <w:rPr/>
        <w:pict>
          <v:group style="position:absolute;margin-left:24pt;margin-top:24pt;width:564.15pt;height:768.15pt;mso-position-horizontal-relative:page;mso-position-vertical-relative:page;z-index:-253553664"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r>
        <w:rPr>
          <w:sz w:val="24"/>
        </w:rPr>
        <w:t>Sathye, M. (2003). </w:t>
      </w:r>
      <w:r>
        <w:rPr>
          <w:i/>
          <w:sz w:val="24"/>
        </w:rPr>
        <w:t>Credit analysis and lending management</w:t>
      </w:r>
      <w:r>
        <w:rPr>
          <w:sz w:val="24"/>
        </w:rPr>
        <w:t>. 1st ed. Milton, Qld.: John Wiley &amp; Sons</w:t>
      </w:r>
      <w:r>
        <w:rPr>
          <w:spacing w:val="-9"/>
          <w:sz w:val="24"/>
        </w:rPr>
        <w:t> </w:t>
      </w:r>
      <w:r>
        <w:rPr>
          <w:sz w:val="24"/>
        </w:rPr>
        <w:t>Australia.</w:t>
      </w:r>
    </w:p>
    <w:p>
      <w:pPr>
        <w:pStyle w:val="ListParagraph"/>
        <w:numPr>
          <w:ilvl w:val="1"/>
          <w:numId w:val="3"/>
        </w:numPr>
        <w:tabs>
          <w:tab w:pos="941" w:val="left" w:leader="none"/>
        </w:tabs>
        <w:spacing w:line="360" w:lineRule="auto" w:before="1" w:after="0"/>
        <w:ind w:left="940" w:right="216" w:hanging="360"/>
        <w:jc w:val="both"/>
        <w:rPr>
          <w:sz w:val="24"/>
        </w:rPr>
      </w:pPr>
      <w:r>
        <w:rPr>
          <w:sz w:val="24"/>
        </w:rPr>
        <w:t>Saunders, D. (2010). </w:t>
      </w:r>
      <w:r>
        <w:rPr>
          <w:i/>
          <w:sz w:val="24"/>
        </w:rPr>
        <w:t>Sports Direct International plc and JJB Sports plc</w:t>
      </w:r>
      <w:r>
        <w:rPr>
          <w:sz w:val="24"/>
        </w:rPr>
        <w:t>. London: Stationery</w:t>
      </w:r>
      <w:r>
        <w:rPr>
          <w:spacing w:val="-6"/>
          <w:sz w:val="24"/>
        </w:rPr>
        <w:t> </w:t>
      </w:r>
      <w:r>
        <w:rPr>
          <w:sz w:val="24"/>
        </w:rPr>
        <w:t>Office.</w:t>
      </w:r>
    </w:p>
    <w:p>
      <w:pPr>
        <w:pStyle w:val="ListParagraph"/>
        <w:numPr>
          <w:ilvl w:val="1"/>
          <w:numId w:val="3"/>
        </w:numPr>
        <w:tabs>
          <w:tab w:pos="941" w:val="left" w:leader="none"/>
        </w:tabs>
        <w:spacing w:line="360" w:lineRule="auto" w:before="0" w:after="0"/>
        <w:ind w:left="940" w:right="214" w:hanging="360"/>
        <w:jc w:val="both"/>
        <w:rPr>
          <w:sz w:val="24"/>
        </w:rPr>
      </w:pPr>
      <w:r>
        <w:rPr>
          <w:sz w:val="24"/>
        </w:rPr>
        <w:t>Shim, J., Siegel, J., Shim, A., &amp; Shim, J. (2012). </w:t>
      </w:r>
      <w:r>
        <w:rPr>
          <w:i/>
          <w:sz w:val="24"/>
        </w:rPr>
        <w:t>CFO fundamentals</w:t>
      </w:r>
      <w:r>
        <w:rPr>
          <w:sz w:val="24"/>
        </w:rPr>
        <w:t>. Hoboken, N.J.: Wiley.</w:t>
      </w:r>
    </w:p>
    <w:p>
      <w:pPr>
        <w:pStyle w:val="ListParagraph"/>
        <w:numPr>
          <w:ilvl w:val="1"/>
          <w:numId w:val="3"/>
        </w:numPr>
        <w:tabs>
          <w:tab w:pos="941" w:val="left" w:leader="none"/>
        </w:tabs>
        <w:spacing w:line="360" w:lineRule="auto" w:before="0" w:after="0"/>
        <w:ind w:left="940" w:right="218" w:hanging="360"/>
        <w:jc w:val="both"/>
        <w:rPr>
          <w:sz w:val="24"/>
        </w:rPr>
      </w:pPr>
      <w:r>
        <w:rPr>
          <w:sz w:val="24"/>
        </w:rPr>
        <w:t>Steffy, W., Mason, J., &amp; Polacsek, D. (2001). </w:t>
      </w:r>
      <w:r>
        <w:rPr>
          <w:i/>
          <w:sz w:val="24"/>
        </w:rPr>
        <w:t>Computerized ratio analysis</w:t>
      </w:r>
      <w:r>
        <w:rPr>
          <w:sz w:val="24"/>
        </w:rPr>
        <w:t>. Ann Arbor: Industrial Development Division, Institute of Science and Technology, University of Michigan.</w:t>
      </w:r>
    </w:p>
    <w:p>
      <w:pPr>
        <w:pStyle w:val="ListParagraph"/>
        <w:numPr>
          <w:ilvl w:val="1"/>
          <w:numId w:val="3"/>
        </w:numPr>
        <w:tabs>
          <w:tab w:pos="941" w:val="left" w:leader="none"/>
        </w:tabs>
        <w:spacing w:line="360" w:lineRule="auto" w:before="0" w:after="0"/>
        <w:ind w:left="940" w:right="216" w:hanging="360"/>
        <w:jc w:val="both"/>
        <w:rPr>
          <w:sz w:val="24"/>
        </w:rPr>
      </w:pPr>
      <w:r>
        <w:rPr>
          <w:sz w:val="24"/>
        </w:rPr>
        <w:t>Steffy, W., Zearley, T., &amp; Strunk, J. (2004). </w:t>
      </w:r>
      <w:r>
        <w:rPr>
          <w:i/>
          <w:sz w:val="24"/>
        </w:rPr>
        <w:t>Financial ratio analysis</w:t>
      </w:r>
      <w:r>
        <w:rPr>
          <w:sz w:val="24"/>
        </w:rPr>
        <w:t>. Ann Arbor: Industrial Development Division, Institute of Science and Technology, University of Michigan.</w:t>
      </w:r>
    </w:p>
    <w:p>
      <w:pPr>
        <w:pStyle w:val="ListParagraph"/>
        <w:numPr>
          <w:ilvl w:val="1"/>
          <w:numId w:val="3"/>
        </w:numPr>
        <w:tabs>
          <w:tab w:pos="941" w:val="left" w:leader="none"/>
        </w:tabs>
        <w:spacing w:line="360" w:lineRule="auto" w:before="0" w:after="0"/>
        <w:ind w:left="940" w:right="217" w:hanging="360"/>
        <w:jc w:val="both"/>
        <w:rPr>
          <w:sz w:val="24"/>
        </w:rPr>
      </w:pPr>
      <w:r>
        <w:rPr>
          <w:sz w:val="24"/>
        </w:rPr>
        <w:t>Tsolas, </w:t>
      </w:r>
      <w:r>
        <w:rPr>
          <w:spacing w:val="-3"/>
          <w:sz w:val="24"/>
        </w:rPr>
        <w:t>I. </w:t>
      </w:r>
      <w:r>
        <w:rPr>
          <w:sz w:val="24"/>
        </w:rPr>
        <w:t>(2011). Modelling profitability and effectiveness of Greek-listed construction firms: an integrated DEA and ratio analysis. </w:t>
      </w:r>
      <w:r>
        <w:rPr>
          <w:i/>
          <w:sz w:val="24"/>
        </w:rPr>
        <w:t>Construction Management And Economics</w:t>
      </w:r>
      <w:r>
        <w:rPr>
          <w:sz w:val="24"/>
        </w:rPr>
        <w:t>, </w:t>
      </w:r>
      <w:r>
        <w:rPr>
          <w:i/>
          <w:sz w:val="24"/>
        </w:rPr>
        <w:t>29</w:t>
      </w:r>
      <w:r>
        <w:rPr>
          <w:sz w:val="24"/>
        </w:rPr>
        <w:t>(8),</w:t>
      </w:r>
      <w:r>
        <w:rPr>
          <w:spacing w:val="-1"/>
          <w:sz w:val="24"/>
        </w:rPr>
        <w:t> </w:t>
      </w:r>
      <w:r>
        <w:rPr>
          <w:sz w:val="24"/>
        </w:rPr>
        <w:t>795--807.</w:t>
      </w:r>
    </w:p>
    <w:p>
      <w:pPr>
        <w:pStyle w:val="ListParagraph"/>
        <w:numPr>
          <w:ilvl w:val="1"/>
          <w:numId w:val="3"/>
        </w:numPr>
        <w:tabs>
          <w:tab w:pos="941" w:val="left" w:leader="none"/>
        </w:tabs>
        <w:spacing w:line="360" w:lineRule="auto" w:before="0" w:after="0"/>
        <w:ind w:left="940" w:right="217" w:hanging="360"/>
        <w:jc w:val="both"/>
        <w:rPr>
          <w:sz w:val="24"/>
        </w:rPr>
      </w:pPr>
      <w:r>
        <w:rPr>
          <w:sz w:val="24"/>
        </w:rPr>
        <w:t>Vogel, H. (2007). </w:t>
      </w:r>
      <w:r>
        <w:rPr>
          <w:i/>
          <w:sz w:val="24"/>
        </w:rPr>
        <w:t>Entertainment industry economics</w:t>
      </w:r>
      <w:r>
        <w:rPr>
          <w:sz w:val="24"/>
        </w:rPr>
        <w:t>. 1st ed. Cambridge: Cambridge University</w:t>
      </w:r>
      <w:r>
        <w:rPr>
          <w:spacing w:val="-5"/>
          <w:sz w:val="24"/>
        </w:rPr>
        <w:t> </w:t>
      </w:r>
      <w:r>
        <w:rPr>
          <w:sz w:val="24"/>
        </w:rPr>
        <w:t>Press.</w:t>
      </w:r>
    </w:p>
    <w:p>
      <w:pPr>
        <w:pStyle w:val="ListParagraph"/>
        <w:numPr>
          <w:ilvl w:val="1"/>
          <w:numId w:val="3"/>
        </w:numPr>
        <w:tabs>
          <w:tab w:pos="941" w:val="left" w:leader="none"/>
        </w:tabs>
        <w:spacing w:line="360" w:lineRule="auto" w:before="0" w:after="0"/>
        <w:ind w:left="940" w:right="217" w:hanging="360"/>
        <w:jc w:val="both"/>
        <w:rPr>
          <w:sz w:val="24"/>
        </w:rPr>
      </w:pPr>
      <w:r>
        <w:rPr>
          <w:sz w:val="24"/>
        </w:rPr>
        <w:t>Weygandt, J. (2009). </w:t>
      </w:r>
      <w:r>
        <w:rPr>
          <w:i/>
          <w:sz w:val="24"/>
        </w:rPr>
        <w:t>Hospitality financial accounting</w:t>
      </w:r>
      <w:r>
        <w:rPr>
          <w:sz w:val="24"/>
        </w:rPr>
        <w:t>. Hoboken, N.J.: John Wiley &amp; Sons.</w:t>
      </w:r>
    </w:p>
    <w:p>
      <w:pPr>
        <w:pStyle w:val="ListParagraph"/>
        <w:numPr>
          <w:ilvl w:val="1"/>
          <w:numId w:val="3"/>
        </w:numPr>
        <w:tabs>
          <w:tab w:pos="941" w:val="left" w:leader="none"/>
        </w:tabs>
        <w:spacing w:line="360" w:lineRule="auto" w:before="0" w:after="0"/>
        <w:ind w:left="940" w:right="214" w:hanging="360"/>
        <w:jc w:val="both"/>
        <w:rPr>
          <w:sz w:val="24"/>
        </w:rPr>
      </w:pPr>
      <w:r>
        <w:rPr>
          <w:sz w:val="24"/>
        </w:rPr>
        <w:t>Wild, J., Bernstein, </w:t>
      </w:r>
      <w:r>
        <w:rPr>
          <w:spacing w:val="-3"/>
          <w:sz w:val="24"/>
        </w:rPr>
        <w:t>L. </w:t>
      </w:r>
      <w:r>
        <w:rPr>
          <w:sz w:val="24"/>
        </w:rPr>
        <w:t>and Subramanyam, K. (2001). </w:t>
      </w:r>
      <w:r>
        <w:rPr>
          <w:i/>
          <w:sz w:val="24"/>
        </w:rPr>
        <w:t>Financial statement analysis</w:t>
      </w:r>
      <w:r>
        <w:rPr>
          <w:sz w:val="24"/>
        </w:rPr>
        <w:t>. 1st  ed. Boston, Mass.:</w:t>
      </w:r>
      <w:r>
        <w:rPr>
          <w:spacing w:val="-1"/>
          <w:sz w:val="24"/>
        </w:rPr>
        <w:t> </w:t>
      </w:r>
      <w:r>
        <w:rPr>
          <w:sz w:val="24"/>
        </w:rPr>
        <w:t>McGraw-Hill.</w:t>
      </w:r>
    </w:p>
    <w:p>
      <w:pPr>
        <w:pStyle w:val="ListParagraph"/>
        <w:numPr>
          <w:ilvl w:val="1"/>
          <w:numId w:val="3"/>
        </w:numPr>
        <w:tabs>
          <w:tab w:pos="941" w:val="left" w:leader="none"/>
        </w:tabs>
        <w:spacing w:line="240" w:lineRule="auto" w:before="0" w:after="0"/>
        <w:ind w:left="940" w:right="0" w:hanging="361"/>
        <w:jc w:val="both"/>
        <w:rPr>
          <w:sz w:val="24"/>
        </w:rPr>
      </w:pPr>
      <w:r>
        <w:rPr>
          <w:sz w:val="24"/>
        </w:rPr>
        <w:t>Williams, </w:t>
      </w:r>
      <w:r>
        <w:rPr>
          <w:spacing w:val="-3"/>
          <w:sz w:val="24"/>
        </w:rPr>
        <w:t>L. </w:t>
      </w:r>
      <w:r>
        <w:rPr>
          <w:sz w:val="24"/>
        </w:rPr>
        <w:t>(2003). </w:t>
      </w:r>
      <w:r>
        <w:rPr>
          <w:i/>
          <w:sz w:val="24"/>
        </w:rPr>
        <w:t>The right stock at the right time</w:t>
      </w:r>
      <w:r>
        <w:rPr>
          <w:sz w:val="24"/>
        </w:rPr>
        <w:t>. 1st ed. Hoboken, N.J.:</w:t>
      </w:r>
      <w:r>
        <w:rPr>
          <w:spacing w:val="-3"/>
          <w:sz w:val="24"/>
        </w:rPr>
        <w:t> </w:t>
      </w:r>
      <w:r>
        <w:rPr>
          <w:sz w:val="24"/>
        </w:rPr>
        <w:t>Wiley.</w:t>
      </w:r>
    </w:p>
    <w:p>
      <w:pPr>
        <w:pStyle w:val="ListParagraph"/>
        <w:numPr>
          <w:ilvl w:val="1"/>
          <w:numId w:val="3"/>
        </w:numPr>
        <w:tabs>
          <w:tab w:pos="941" w:val="left" w:leader="none"/>
        </w:tabs>
        <w:spacing w:line="360" w:lineRule="auto" w:before="139" w:after="0"/>
        <w:ind w:left="940" w:right="222" w:hanging="360"/>
        <w:jc w:val="both"/>
        <w:rPr>
          <w:sz w:val="24"/>
        </w:rPr>
      </w:pPr>
      <w:r>
        <w:rPr>
          <w:sz w:val="24"/>
        </w:rPr>
        <w:t>Yang, Y., &amp; Ma, M. (2013). </w:t>
      </w:r>
      <w:r>
        <w:rPr>
          <w:i/>
          <w:sz w:val="24"/>
        </w:rPr>
        <w:t>Proceedings of the 2nd International Conference on Green </w:t>
      </w:r>
      <w:r>
        <w:rPr>
          <w:i/>
          <w:sz w:val="24"/>
        </w:rPr>
        <w:t>Communications and Networks 2012 (GCN 2012)</w:t>
      </w:r>
      <w:r>
        <w:rPr>
          <w:sz w:val="24"/>
        </w:rPr>
        <w:t>. Berlin: Springer.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pict>
          <v:group style="position:absolute;margin-left:281.25pt;margin-top:17.252321pt;width:49.35pt;height:49.35pt;mso-position-horizontal-relative:page;mso-position-vertical-relative:paragraph;z-index:-251610112;mso-wrap-distance-left:0;mso-wrap-distance-right:0" coordorigin="5625,345" coordsize="987,987">
            <v:shape style="position:absolute;left:5625;top:345;width:987;height:987" coordorigin="5625,345" coordsize="987,987" path="m6119,345l6046,350,5976,366,5911,391,5850,425,5795,466,5746,515,5705,570,5671,631,5646,696,5630,766,5625,839,5630,911,5646,981,5671,1047,5705,1107,5746,1162,5795,1211,5850,1253,5911,1286,5976,1311,6046,1327,6119,1332,6191,1327,6261,1311,6327,1286,6387,1253,6442,1211,6491,1162,6532,1107,6566,1047,6591,981,6607,911,6612,839,6607,766,6591,696,6566,631,6532,570,6491,515,6442,466,6387,425,6327,391,6261,366,6191,350,6119,345xe" filled="true" fillcolor="#375f92" stroked="false">
              <v:path arrowok="t"/>
              <v:fill type="solid"/>
            </v:shape>
            <v:shape style="position:absolute;left:5769;top:561;width:699;height:555" type="#_x0000_t75" stroked="false">
              <v:imagedata r:id="rId10" o:title=""/>
            </v:shape>
            <v:shape style="position:absolute;left:5625;top:345;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17</w:t>
                    </w:r>
                  </w:p>
                </w:txbxContent>
              </v:textbox>
              <w10:wrap type="none"/>
            </v:shape>
            <w10:wrap type="topAndBottom"/>
          </v:group>
        </w:pict>
      </w:r>
    </w:p>
    <w:p>
      <w:pPr>
        <w:spacing w:after="0"/>
        <w:rPr>
          <w:sz w:val="26"/>
        </w:rPr>
        <w:sectPr>
          <w:pgSz w:w="12240" w:h="15840"/>
          <w:pgMar w:top="1360" w:bottom="0" w:left="1220" w:right="1220"/>
        </w:sectPr>
      </w:pPr>
    </w:p>
    <w:p>
      <w:pPr>
        <w:pStyle w:val="BodyText"/>
        <w:rPr>
          <w:sz w:val="20"/>
        </w:rPr>
      </w:pPr>
      <w:r>
        <w:rPr/>
        <w:pict>
          <v:group style="position:absolute;margin-left:24pt;margin-top:24pt;width:564.15pt;height:768.15pt;mso-position-horizontal-relative:page;mso-position-vertical-relative:page;z-index:-253550592"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spacing w:before="4"/>
        <w:rPr>
          <w:sz w:val="21"/>
        </w:rPr>
      </w:pPr>
    </w:p>
    <w:p>
      <w:pPr>
        <w:pStyle w:val="Heading1"/>
        <w:spacing w:line="465" w:lineRule="auto" w:before="0"/>
        <w:ind w:right="7993"/>
      </w:pPr>
      <w:bookmarkStart w:name="_bookmark14" w:id="19"/>
      <w:bookmarkEnd w:id="19"/>
      <w:r>
        <w:rPr>
          <w:b w:val="0"/>
        </w:rPr>
      </w:r>
      <w:r>
        <w:rPr/>
        <w:t>Appendix: Ratio Analysis:</w:t>
      </w:r>
    </w:p>
    <w:p>
      <w:pPr>
        <w:pStyle w:val="BodyText"/>
        <w:spacing w:before="11"/>
        <w:rPr>
          <w:b/>
          <w:sz w:val="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960"/>
      </w:tblGrid>
      <w:tr>
        <w:trPr>
          <w:trHeight w:val="1026" w:hRule="atLeast"/>
        </w:trPr>
        <w:tc>
          <w:tcPr>
            <w:tcW w:w="2840" w:type="dxa"/>
          </w:tcPr>
          <w:p>
            <w:pPr>
              <w:pStyle w:val="TableParagraph"/>
              <w:tabs>
                <w:tab w:pos="2530" w:val="left" w:leader="none"/>
              </w:tabs>
              <w:spacing w:line="360" w:lineRule="auto"/>
              <w:ind w:right="97"/>
              <w:rPr>
                <w:b/>
                <w:sz w:val="24"/>
              </w:rPr>
            </w:pPr>
            <w:r>
              <w:rPr>
                <w:b/>
                <w:sz w:val="24"/>
              </w:rPr>
              <w:t>Profitability</w:t>
              <w:tab/>
            </w:r>
            <w:r>
              <w:rPr>
                <w:b/>
                <w:spacing w:val="-17"/>
                <w:sz w:val="24"/>
              </w:rPr>
              <w:t>&amp; </w:t>
            </w:r>
            <w:r>
              <w:rPr>
                <w:b/>
                <w:sz w:val="24"/>
              </w:rPr>
              <w:t>Investment</w:t>
            </w:r>
            <w:r>
              <w:rPr>
                <w:b/>
                <w:spacing w:val="-1"/>
                <w:sz w:val="24"/>
              </w:rPr>
              <w:t> </w:t>
            </w:r>
            <w:r>
              <w:rPr>
                <w:b/>
                <w:sz w:val="24"/>
              </w:rPr>
              <w:t>Ratio</w:t>
            </w:r>
          </w:p>
        </w:tc>
        <w:tc>
          <w:tcPr>
            <w:tcW w:w="960" w:type="dxa"/>
          </w:tcPr>
          <w:p>
            <w:pPr>
              <w:pStyle w:val="TableParagraph"/>
              <w:spacing w:line="275" w:lineRule="exact"/>
              <w:rPr>
                <w:b/>
                <w:sz w:val="24"/>
              </w:rPr>
            </w:pPr>
            <w:r>
              <w:rPr>
                <w:b/>
                <w:sz w:val="24"/>
              </w:rPr>
              <w:t>2013</w:t>
            </w:r>
          </w:p>
        </w:tc>
      </w:tr>
      <w:tr>
        <w:trPr>
          <w:trHeight w:val="614" w:hRule="atLeast"/>
        </w:trPr>
        <w:tc>
          <w:tcPr>
            <w:tcW w:w="2840" w:type="dxa"/>
          </w:tcPr>
          <w:p>
            <w:pPr>
              <w:pStyle w:val="TableParagraph"/>
              <w:spacing w:line="273" w:lineRule="exact"/>
              <w:rPr>
                <w:sz w:val="24"/>
              </w:rPr>
            </w:pPr>
            <w:r>
              <w:rPr>
                <w:sz w:val="24"/>
              </w:rPr>
              <w:t>Gross margin</w:t>
            </w:r>
          </w:p>
        </w:tc>
        <w:tc>
          <w:tcPr>
            <w:tcW w:w="960" w:type="dxa"/>
          </w:tcPr>
          <w:p>
            <w:pPr>
              <w:pStyle w:val="TableParagraph"/>
              <w:spacing w:line="273" w:lineRule="exact"/>
              <w:rPr>
                <w:sz w:val="24"/>
              </w:rPr>
            </w:pPr>
            <w:r>
              <w:rPr>
                <w:sz w:val="24"/>
              </w:rPr>
              <w:t>40.9</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3" w:lineRule="exact"/>
              <w:rPr>
                <w:sz w:val="24"/>
              </w:rPr>
            </w:pPr>
            <w:r>
              <w:rPr>
                <w:sz w:val="24"/>
              </w:rPr>
              <w:t>Operating Margin %</w:t>
            </w:r>
          </w:p>
        </w:tc>
        <w:tc>
          <w:tcPr>
            <w:tcW w:w="960" w:type="dxa"/>
          </w:tcPr>
          <w:p>
            <w:pPr>
              <w:pStyle w:val="TableParagraph"/>
              <w:spacing w:line="273" w:lineRule="exact"/>
              <w:rPr>
                <w:sz w:val="24"/>
              </w:rPr>
            </w:pPr>
            <w:r>
              <w:rPr>
                <w:sz w:val="24"/>
              </w:rPr>
              <w:t>9.7</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3" w:lineRule="exact"/>
              <w:rPr>
                <w:sz w:val="24"/>
              </w:rPr>
            </w:pPr>
            <w:r>
              <w:rPr>
                <w:sz w:val="24"/>
              </w:rPr>
              <w:t>Net Margin %</w:t>
            </w:r>
          </w:p>
        </w:tc>
        <w:tc>
          <w:tcPr>
            <w:tcW w:w="960" w:type="dxa"/>
          </w:tcPr>
          <w:p>
            <w:pPr>
              <w:pStyle w:val="TableParagraph"/>
              <w:spacing w:line="273" w:lineRule="exact"/>
              <w:rPr>
                <w:sz w:val="24"/>
              </w:rPr>
            </w:pPr>
            <w:r>
              <w:rPr>
                <w:sz w:val="24"/>
              </w:rPr>
              <w:t>6.94</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Asset Turnover (Average)</w:t>
            </w:r>
          </w:p>
        </w:tc>
        <w:tc>
          <w:tcPr>
            <w:tcW w:w="960" w:type="dxa"/>
          </w:tcPr>
          <w:p>
            <w:pPr>
              <w:pStyle w:val="TableParagraph"/>
              <w:spacing w:line="270" w:lineRule="exact"/>
              <w:rPr>
                <w:sz w:val="24"/>
              </w:rPr>
            </w:pPr>
            <w:r>
              <w:rPr>
                <w:sz w:val="24"/>
              </w:rPr>
              <w:t>1.72</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Return on Assets %</w:t>
            </w:r>
          </w:p>
        </w:tc>
        <w:tc>
          <w:tcPr>
            <w:tcW w:w="960" w:type="dxa"/>
          </w:tcPr>
          <w:p>
            <w:pPr>
              <w:pStyle w:val="TableParagraph"/>
              <w:spacing w:line="270" w:lineRule="exact"/>
              <w:rPr>
                <w:sz w:val="24"/>
              </w:rPr>
            </w:pPr>
            <w:r>
              <w:rPr>
                <w:sz w:val="24"/>
              </w:rPr>
              <w:t>11.93</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Return on Equity %</w:t>
            </w:r>
          </w:p>
        </w:tc>
        <w:tc>
          <w:tcPr>
            <w:tcW w:w="960" w:type="dxa"/>
          </w:tcPr>
          <w:p>
            <w:pPr>
              <w:pStyle w:val="TableParagraph"/>
              <w:spacing w:line="270" w:lineRule="exact"/>
              <w:rPr>
                <w:sz w:val="24"/>
              </w:rPr>
            </w:pPr>
            <w:r>
              <w:rPr>
                <w:sz w:val="24"/>
              </w:rPr>
              <w:t>27.15</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1029" w:hRule="atLeast"/>
        </w:trPr>
        <w:tc>
          <w:tcPr>
            <w:tcW w:w="2840" w:type="dxa"/>
          </w:tcPr>
          <w:p>
            <w:pPr>
              <w:pStyle w:val="TableParagraph"/>
              <w:spacing w:line="270" w:lineRule="exact"/>
              <w:rPr>
                <w:sz w:val="24"/>
              </w:rPr>
            </w:pPr>
            <w:r>
              <w:rPr>
                <w:sz w:val="24"/>
              </w:rPr>
              <w:t>Return on Invested Capital</w:t>
            </w:r>
          </w:p>
          <w:p>
            <w:pPr>
              <w:pStyle w:val="TableParagraph"/>
              <w:spacing w:before="139"/>
              <w:rPr>
                <w:sz w:val="24"/>
              </w:rPr>
            </w:pPr>
            <w:r>
              <w:rPr>
                <w:w w:val="99"/>
                <w:sz w:val="24"/>
              </w:rPr>
              <w:t>%</w:t>
            </w:r>
          </w:p>
        </w:tc>
        <w:tc>
          <w:tcPr>
            <w:tcW w:w="960" w:type="dxa"/>
          </w:tcPr>
          <w:p>
            <w:pPr>
              <w:pStyle w:val="TableParagraph"/>
              <w:spacing w:line="270" w:lineRule="exact"/>
              <w:rPr>
                <w:sz w:val="24"/>
              </w:rPr>
            </w:pPr>
            <w:r>
              <w:rPr>
                <w:sz w:val="24"/>
              </w:rPr>
              <w:t>18.79</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bl>
    <w:p>
      <w:pPr>
        <w:pStyle w:val="BodyText"/>
        <w:rPr>
          <w:b/>
          <w:sz w:val="20"/>
        </w:rPr>
      </w:pPr>
    </w:p>
    <w:p>
      <w:pPr>
        <w:pStyle w:val="BodyText"/>
        <w:spacing w:before="7"/>
        <w:rPr>
          <w:b/>
          <w:sz w:val="16"/>
        </w:rPr>
      </w:pPr>
      <w:r>
        <w:rPr/>
        <w:pict>
          <v:group style="position:absolute;margin-left:281.25pt;margin-top:11.534748pt;width:49.35pt;height:49.35pt;mso-position-horizontal-relative:page;mso-position-vertical-relative:paragraph;z-index:-251607040;mso-wrap-distance-left:0;mso-wrap-distance-right:0" coordorigin="5625,231" coordsize="987,987">
            <v:shape style="position:absolute;left:5625;top:230;width:987;height:987" coordorigin="5625,231" coordsize="987,987" path="m6119,231l6046,236,5976,252,5911,277,5850,310,5795,352,5746,400,5705,455,5671,516,5646,582,5630,651,5625,724,5630,797,5646,867,5671,932,5705,993,5746,1048,5795,1097,5850,1138,5911,1172,5976,1197,6046,1212,6119,1218,6191,1212,6261,1197,6327,1172,6387,1138,6442,1097,6491,1048,6532,993,6566,932,6591,867,6607,797,6612,724,6607,651,6591,582,6566,516,6532,455,6491,400,6442,352,6387,310,6327,277,6261,252,6191,236,6119,231xe" filled="true" fillcolor="#375f92" stroked="false">
              <v:path arrowok="t"/>
              <v:fill type="solid"/>
            </v:shape>
            <v:shape style="position:absolute;left:5769;top:447;width:699;height:555" type="#_x0000_t75" stroked="false">
              <v:imagedata r:id="rId10" o:title=""/>
            </v:shape>
            <v:shape style="position:absolute;left:5625;top:230;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18</w:t>
                    </w:r>
                  </w:p>
                </w:txbxContent>
              </v:textbox>
              <w10:wrap type="none"/>
            </v:shape>
            <w10:wrap type="topAndBottom"/>
          </v:group>
        </w:pict>
      </w:r>
    </w:p>
    <w:p>
      <w:pPr>
        <w:spacing w:after="0"/>
        <w:rPr>
          <w:sz w:val="16"/>
        </w:rPr>
        <w:sectPr>
          <w:pgSz w:w="12240" w:h="15840"/>
          <w:pgMar w:top="1500" w:bottom="0" w:left="1220" w:right="122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960"/>
      </w:tblGrid>
      <w:tr>
        <w:trPr>
          <w:trHeight w:val="614" w:hRule="atLeast"/>
        </w:trPr>
        <w:tc>
          <w:tcPr>
            <w:tcW w:w="2840" w:type="dxa"/>
          </w:tcPr>
          <w:p>
            <w:pPr>
              <w:pStyle w:val="TableParagraph"/>
              <w:spacing w:line="270" w:lineRule="exact"/>
              <w:rPr>
                <w:sz w:val="24"/>
              </w:rPr>
            </w:pPr>
            <w:r>
              <w:rPr>
                <w:sz w:val="24"/>
              </w:rPr>
              <w:t>Earnings Per Share GBP</w:t>
            </w:r>
          </w:p>
        </w:tc>
        <w:tc>
          <w:tcPr>
            <w:tcW w:w="960" w:type="dxa"/>
          </w:tcPr>
          <w:p>
            <w:pPr>
              <w:pStyle w:val="TableParagraph"/>
              <w:spacing w:line="270" w:lineRule="exact"/>
              <w:rPr>
                <w:sz w:val="24"/>
              </w:rPr>
            </w:pPr>
            <w:r>
              <w:rPr>
                <w:sz w:val="24"/>
              </w:rPr>
              <w:t>0.24</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Dividends GBP</w:t>
            </w:r>
          </w:p>
        </w:tc>
        <w:tc>
          <w:tcPr>
            <w:tcW w:w="960" w:type="dxa"/>
          </w:tcPr>
          <w:p>
            <w:pPr>
              <w:pStyle w:val="TableParagraph"/>
              <w:spacing w:line="270" w:lineRule="exact"/>
              <w:rPr>
                <w:sz w:val="24"/>
              </w:rPr>
            </w:pPr>
            <w:r>
              <w:rPr>
                <w:sz w:val="24"/>
              </w:rPr>
              <w:t>—</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Payout Ratio %</w:t>
            </w:r>
          </w:p>
        </w:tc>
        <w:tc>
          <w:tcPr>
            <w:tcW w:w="960" w:type="dxa"/>
          </w:tcPr>
          <w:p>
            <w:pPr>
              <w:pStyle w:val="TableParagraph"/>
              <w:spacing w:line="270" w:lineRule="exact"/>
              <w:rPr>
                <w:sz w:val="24"/>
              </w:rPr>
            </w:pPr>
            <w:r>
              <w:rPr>
                <w:sz w:val="24"/>
              </w:rPr>
              <w:t>—</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Shares Mil</w:t>
            </w:r>
          </w:p>
        </w:tc>
        <w:tc>
          <w:tcPr>
            <w:tcW w:w="960" w:type="dxa"/>
          </w:tcPr>
          <w:p>
            <w:pPr>
              <w:pStyle w:val="TableParagraph"/>
              <w:spacing w:line="270" w:lineRule="exact"/>
              <w:rPr>
                <w:sz w:val="24"/>
              </w:rPr>
            </w:pPr>
            <w:r>
              <w:rPr>
                <w:sz w:val="24"/>
              </w:rPr>
              <w:t>621</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1026" w:hRule="atLeast"/>
        </w:trPr>
        <w:tc>
          <w:tcPr>
            <w:tcW w:w="2840" w:type="dxa"/>
          </w:tcPr>
          <w:p>
            <w:pPr>
              <w:pStyle w:val="TableParagraph"/>
              <w:tabs>
                <w:tab w:pos="1230" w:val="left" w:leader="none"/>
                <w:tab w:pos="2408" w:val="left" w:leader="none"/>
              </w:tabs>
              <w:spacing w:line="360" w:lineRule="auto"/>
              <w:ind w:right="97"/>
              <w:rPr>
                <w:sz w:val="24"/>
              </w:rPr>
            </w:pPr>
            <w:r>
              <w:rPr>
                <w:sz w:val="24"/>
              </w:rPr>
              <w:t>Book</w:t>
              <w:tab/>
              <w:t>Value</w:t>
              <w:tab/>
            </w:r>
            <w:r>
              <w:rPr>
                <w:spacing w:val="-6"/>
                <w:sz w:val="24"/>
              </w:rPr>
              <w:t>Per </w:t>
            </w:r>
            <w:r>
              <w:rPr>
                <w:sz w:val="24"/>
              </w:rPr>
              <w:t>Share</w:t>
            </w:r>
            <w:r>
              <w:rPr>
                <w:spacing w:val="-3"/>
                <w:sz w:val="24"/>
              </w:rPr>
              <w:t> </w:t>
            </w:r>
            <w:r>
              <w:rPr>
                <w:sz w:val="24"/>
              </w:rPr>
              <w:t>GBP</w:t>
            </w:r>
          </w:p>
        </w:tc>
        <w:tc>
          <w:tcPr>
            <w:tcW w:w="960" w:type="dxa"/>
          </w:tcPr>
          <w:p>
            <w:pPr>
              <w:pStyle w:val="TableParagraph"/>
              <w:spacing w:line="270" w:lineRule="exact"/>
              <w:rPr>
                <w:sz w:val="24"/>
              </w:rPr>
            </w:pPr>
            <w:r>
              <w:rPr>
                <w:sz w:val="24"/>
              </w:rPr>
              <w:t>1.08</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1029" w:hRule="atLeast"/>
        </w:trPr>
        <w:tc>
          <w:tcPr>
            <w:tcW w:w="2840" w:type="dxa"/>
          </w:tcPr>
          <w:p>
            <w:pPr>
              <w:pStyle w:val="TableParagraph"/>
              <w:spacing w:line="360" w:lineRule="auto"/>
              <w:ind w:right="97"/>
              <w:rPr>
                <w:sz w:val="24"/>
              </w:rPr>
            </w:pPr>
            <w:r>
              <w:rPr>
                <w:sz w:val="24"/>
              </w:rPr>
              <w:t>Operating Cash Flow GBP Mil</w:t>
            </w:r>
          </w:p>
        </w:tc>
        <w:tc>
          <w:tcPr>
            <w:tcW w:w="960" w:type="dxa"/>
          </w:tcPr>
          <w:p>
            <w:pPr>
              <w:pStyle w:val="TableParagraph"/>
              <w:spacing w:line="273" w:lineRule="exact"/>
              <w:rPr>
                <w:sz w:val="24"/>
              </w:rPr>
            </w:pPr>
            <w:r>
              <w:rPr>
                <w:sz w:val="24"/>
              </w:rPr>
              <w:t>114</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Cap Spending GBP Mil</w:t>
            </w:r>
          </w:p>
        </w:tc>
        <w:tc>
          <w:tcPr>
            <w:tcW w:w="960" w:type="dxa"/>
          </w:tcPr>
          <w:p>
            <w:pPr>
              <w:pStyle w:val="TableParagraph"/>
              <w:spacing w:line="270" w:lineRule="exact"/>
              <w:rPr>
                <w:sz w:val="24"/>
              </w:rPr>
            </w:pPr>
            <w:r>
              <w:rPr>
                <w:sz w:val="24"/>
              </w:rPr>
              <w:t>-51</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Free Cash Flow GBP Mil</w:t>
            </w:r>
          </w:p>
        </w:tc>
        <w:tc>
          <w:tcPr>
            <w:tcW w:w="960" w:type="dxa"/>
          </w:tcPr>
          <w:p>
            <w:pPr>
              <w:pStyle w:val="TableParagraph"/>
              <w:spacing w:line="270" w:lineRule="exact"/>
              <w:rPr>
                <w:sz w:val="24"/>
              </w:rPr>
            </w:pPr>
            <w:r>
              <w:rPr>
                <w:sz w:val="24"/>
              </w:rPr>
              <w:t>64</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1026" w:hRule="atLeast"/>
        </w:trPr>
        <w:tc>
          <w:tcPr>
            <w:tcW w:w="2840" w:type="dxa"/>
          </w:tcPr>
          <w:p>
            <w:pPr>
              <w:pStyle w:val="TableParagraph"/>
              <w:tabs>
                <w:tab w:pos="834" w:val="left" w:leader="none"/>
                <w:tab w:pos="1616" w:val="left" w:leader="none"/>
                <w:tab w:pos="2410" w:val="left" w:leader="none"/>
              </w:tabs>
              <w:spacing w:line="360" w:lineRule="auto"/>
              <w:ind w:right="97"/>
              <w:rPr>
                <w:sz w:val="24"/>
              </w:rPr>
            </w:pPr>
            <w:r>
              <w:rPr>
                <w:sz w:val="24"/>
              </w:rPr>
              <w:t>Free</w:t>
              <w:tab/>
              <w:t>Cash</w:t>
              <w:tab/>
              <w:t>Flow</w:t>
              <w:tab/>
            </w:r>
            <w:r>
              <w:rPr>
                <w:spacing w:val="-7"/>
                <w:sz w:val="24"/>
              </w:rPr>
              <w:t>Per </w:t>
            </w:r>
            <w:r>
              <w:rPr>
                <w:sz w:val="24"/>
              </w:rPr>
              <w:t>Share</w:t>
            </w:r>
            <w:r>
              <w:rPr>
                <w:spacing w:val="-3"/>
                <w:sz w:val="24"/>
              </w:rPr>
              <w:t> </w:t>
            </w:r>
            <w:r>
              <w:rPr>
                <w:sz w:val="24"/>
              </w:rPr>
              <w:t>GBP</w:t>
            </w:r>
          </w:p>
        </w:tc>
        <w:tc>
          <w:tcPr>
            <w:tcW w:w="960" w:type="dxa"/>
          </w:tcPr>
          <w:p>
            <w:pPr>
              <w:pStyle w:val="TableParagraph"/>
              <w:spacing w:line="270" w:lineRule="exact"/>
              <w:rPr>
                <w:sz w:val="24"/>
              </w:rPr>
            </w:pPr>
            <w:r>
              <w:rPr>
                <w:sz w:val="24"/>
              </w:rPr>
              <w:t>0.1</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bl>
    <w:p>
      <w:pPr>
        <w:pStyle w:val="BodyText"/>
        <w:rPr>
          <w:b/>
          <w:sz w:val="20"/>
        </w:rPr>
      </w:pPr>
      <w:r>
        <w:rPr/>
        <w:pict>
          <v:group style="position:absolute;margin-left:24pt;margin-top:24pt;width:564.15pt;height:768.15pt;mso-position-horizontal-relative:page;mso-position-vertical-relative:page;z-index:-253547520"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p>
    <w:p>
      <w:pPr>
        <w:pStyle w:val="BodyText"/>
        <w:spacing w:before="6"/>
        <w:rPr>
          <w:b/>
        </w:rPr>
      </w:pPr>
      <w:r>
        <w:rPr/>
        <w:pict>
          <v:group style="position:absolute;margin-left:281.25pt;margin-top:16.083977pt;width:49.35pt;height:49.35pt;mso-position-horizontal-relative:page;mso-position-vertical-relative:paragraph;z-index:-251603968;mso-wrap-distance-left:0;mso-wrap-distance-right:0" coordorigin="5625,322" coordsize="987,987">
            <v:shape style="position:absolute;left:5625;top:321;width:987;height:987" coordorigin="5625,322" coordsize="987,987" path="m6119,322l6046,327,5976,343,5911,368,5850,401,5795,443,5746,491,5705,546,5671,607,5646,673,5630,742,5625,815,5630,888,5646,958,5671,1023,5705,1084,5746,1139,5795,1188,5850,1229,5911,1263,5976,1288,6046,1303,6119,1309,6191,1303,6261,1288,6327,1263,6387,1229,6442,1188,6491,1139,6532,1084,6566,1023,6591,958,6607,888,6612,815,6607,742,6591,673,6566,607,6532,546,6491,491,6442,443,6387,401,6327,368,6261,343,6191,327,6119,322xe" filled="true" fillcolor="#375f92" stroked="false">
              <v:path arrowok="t"/>
              <v:fill type="solid"/>
            </v:shape>
            <v:shape style="position:absolute;left:5769;top:538;width:699;height:555" type="#_x0000_t75" stroked="false">
              <v:imagedata r:id="rId10" o:title=""/>
            </v:shape>
            <v:shape style="position:absolute;left:5625;top:321;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19</w:t>
                    </w:r>
                  </w:p>
                </w:txbxContent>
              </v:textbox>
              <w10:wrap type="none"/>
            </v:shape>
            <w10:wrap type="topAndBottom"/>
          </v:group>
        </w:pict>
      </w:r>
    </w:p>
    <w:p>
      <w:pPr>
        <w:spacing w:after="0"/>
        <w:sectPr>
          <w:pgSz w:w="12240" w:h="15840"/>
          <w:pgMar w:top="1440" w:bottom="0" w:left="1220" w:right="122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960"/>
      </w:tblGrid>
      <w:tr>
        <w:trPr>
          <w:trHeight w:val="614" w:hRule="atLeast"/>
        </w:trPr>
        <w:tc>
          <w:tcPr>
            <w:tcW w:w="2840" w:type="dxa"/>
          </w:tcPr>
          <w:p>
            <w:pPr>
              <w:pStyle w:val="TableParagraph"/>
              <w:spacing w:line="270" w:lineRule="exact"/>
              <w:rPr>
                <w:sz w:val="24"/>
              </w:rPr>
            </w:pPr>
            <w:r>
              <w:rPr>
                <w:sz w:val="24"/>
              </w:rPr>
              <w:t>Working Capital GBP Mil</w:t>
            </w:r>
          </w:p>
        </w:tc>
        <w:tc>
          <w:tcPr>
            <w:tcW w:w="960" w:type="dxa"/>
          </w:tcPr>
          <w:p>
            <w:pPr>
              <w:pStyle w:val="TableParagraph"/>
              <w:spacing w:line="270" w:lineRule="exact"/>
              <w:rPr>
                <w:sz w:val="24"/>
              </w:rPr>
            </w:pPr>
            <w:r>
              <w:rPr>
                <w:sz w:val="24"/>
              </w:rPr>
              <w:t>276</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Earnings Per Share GBP</w:t>
            </w:r>
          </w:p>
        </w:tc>
        <w:tc>
          <w:tcPr>
            <w:tcW w:w="960" w:type="dxa"/>
          </w:tcPr>
          <w:p>
            <w:pPr>
              <w:pStyle w:val="TableParagraph"/>
              <w:spacing w:line="270" w:lineRule="exact"/>
              <w:rPr>
                <w:sz w:val="24"/>
              </w:rPr>
            </w:pPr>
            <w:r>
              <w:rPr>
                <w:sz w:val="24"/>
              </w:rPr>
              <w:t>0.24</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Dividends GBP</w:t>
            </w:r>
          </w:p>
        </w:tc>
        <w:tc>
          <w:tcPr>
            <w:tcW w:w="960" w:type="dxa"/>
          </w:tcPr>
          <w:p>
            <w:pPr>
              <w:pStyle w:val="TableParagraph"/>
              <w:spacing w:line="270" w:lineRule="exact"/>
              <w:rPr>
                <w:sz w:val="24"/>
              </w:rPr>
            </w:pPr>
            <w:r>
              <w:rPr>
                <w:sz w:val="24"/>
              </w:rPr>
              <w:t>—</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Payout Ratio %</w:t>
            </w:r>
          </w:p>
        </w:tc>
        <w:tc>
          <w:tcPr>
            <w:tcW w:w="960" w:type="dxa"/>
          </w:tcPr>
          <w:p>
            <w:pPr>
              <w:pStyle w:val="TableParagraph"/>
              <w:spacing w:line="270" w:lineRule="exact"/>
              <w:rPr>
                <w:sz w:val="24"/>
              </w:rPr>
            </w:pPr>
            <w:r>
              <w:rPr>
                <w:sz w:val="24"/>
              </w:rPr>
              <w:t>—</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Shares Mil</w:t>
            </w:r>
          </w:p>
        </w:tc>
        <w:tc>
          <w:tcPr>
            <w:tcW w:w="960" w:type="dxa"/>
          </w:tcPr>
          <w:p>
            <w:pPr>
              <w:pStyle w:val="TableParagraph"/>
              <w:spacing w:line="270" w:lineRule="exact"/>
              <w:rPr>
                <w:sz w:val="24"/>
              </w:rPr>
            </w:pPr>
            <w:r>
              <w:rPr>
                <w:sz w:val="24"/>
              </w:rPr>
              <w:t>621</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1027" w:hRule="atLeast"/>
        </w:trPr>
        <w:tc>
          <w:tcPr>
            <w:tcW w:w="2840" w:type="dxa"/>
          </w:tcPr>
          <w:p>
            <w:pPr>
              <w:pStyle w:val="TableParagraph"/>
              <w:tabs>
                <w:tab w:pos="1230" w:val="left" w:leader="none"/>
                <w:tab w:pos="2408" w:val="left" w:leader="none"/>
              </w:tabs>
              <w:spacing w:line="360" w:lineRule="auto"/>
              <w:ind w:right="97"/>
              <w:rPr>
                <w:sz w:val="24"/>
              </w:rPr>
            </w:pPr>
            <w:r>
              <w:rPr>
                <w:sz w:val="24"/>
              </w:rPr>
              <w:t>Book</w:t>
              <w:tab/>
              <w:t>Value</w:t>
              <w:tab/>
            </w:r>
            <w:r>
              <w:rPr>
                <w:spacing w:val="-6"/>
                <w:sz w:val="24"/>
              </w:rPr>
              <w:t>Per </w:t>
            </w:r>
            <w:r>
              <w:rPr>
                <w:sz w:val="24"/>
              </w:rPr>
              <w:t>Share</w:t>
            </w:r>
            <w:r>
              <w:rPr>
                <w:spacing w:val="-3"/>
                <w:sz w:val="24"/>
              </w:rPr>
              <w:t> </w:t>
            </w:r>
            <w:r>
              <w:rPr>
                <w:sz w:val="24"/>
              </w:rPr>
              <w:t>GBP</w:t>
            </w:r>
          </w:p>
        </w:tc>
        <w:tc>
          <w:tcPr>
            <w:tcW w:w="960" w:type="dxa"/>
          </w:tcPr>
          <w:p>
            <w:pPr>
              <w:pStyle w:val="TableParagraph"/>
              <w:spacing w:line="270" w:lineRule="exact"/>
              <w:rPr>
                <w:sz w:val="24"/>
              </w:rPr>
            </w:pPr>
            <w:r>
              <w:rPr>
                <w:sz w:val="24"/>
              </w:rPr>
              <w:t>1.08</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1029" w:hRule="atLeast"/>
        </w:trPr>
        <w:tc>
          <w:tcPr>
            <w:tcW w:w="2840" w:type="dxa"/>
          </w:tcPr>
          <w:p>
            <w:pPr>
              <w:pStyle w:val="TableParagraph"/>
              <w:spacing w:line="360" w:lineRule="auto"/>
              <w:ind w:right="97"/>
              <w:rPr>
                <w:sz w:val="24"/>
              </w:rPr>
            </w:pPr>
            <w:r>
              <w:rPr>
                <w:sz w:val="24"/>
              </w:rPr>
              <w:t>Operating Cash Flow GBP Mil</w:t>
            </w:r>
          </w:p>
        </w:tc>
        <w:tc>
          <w:tcPr>
            <w:tcW w:w="960" w:type="dxa"/>
          </w:tcPr>
          <w:p>
            <w:pPr>
              <w:pStyle w:val="TableParagraph"/>
              <w:spacing w:line="270" w:lineRule="exact"/>
              <w:rPr>
                <w:sz w:val="24"/>
              </w:rPr>
            </w:pPr>
            <w:r>
              <w:rPr>
                <w:sz w:val="24"/>
              </w:rPr>
              <w:t>114</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Cap Spending GBP Mil</w:t>
            </w:r>
          </w:p>
        </w:tc>
        <w:tc>
          <w:tcPr>
            <w:tcW w:w="960" w:type="dxa"/>
          </w:tcPr>
          <w:p>
            <w:pPr>
              <w:pStyle w:val="TableParagraph"/>
              <w:spacing w:line="270" w:lineRule="exact"/>
              <w:rPr>
                <w:sz w:val="24"/>
              </w:rPr>
            </w:pPr>
            <w:r>
              <w:rPr>
                <w:sz w:val="24"/>
              </w:rPr>
              <w:t>-51</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Free Cash Flow GBP Mil</w:t>
            </w:r>
          </w:p>
        </w:tc>
        <w:tc>
          <w:tcPr>
            <w:tcW w:w="960" w:type="dxa"/>
          </w:tcPr>
          <w:p>
            <w:pPr>
              <w:pStyle w:val="TableParagraph"/>
              <w:spacing w:line="270" w:lineRule="exact"/>
              <w:rPr>
                <w:sz w:val="24"/>
              </w:rPr>
            </w:pPr>
            <w:r>
              <w:rPr>
                <w:sz w:val="24"/>
              </w:rPr>
              <w:t>64</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bl>
    <w:p>
      <w:pPr>
        <w:pStyle w:val="BodyText"/>
        <w:rPr>
          <w:b/>
          <w:sz w:val="20"/>
        </w:rPr>
      </w:pPr>
      <w:r>
        <w:rPr/>
        <w:pict>
          <v:group style="position:absolute;margin-left:24pt;margin-top:24pt;width:564.15pt;height:768.15pt;mso-position-horizontal-relative:page;mso-position-vertical-relative:page;z-index:-253544448"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p>
    <w:p>
      <w:pPr>
        <w:pStyle w:val="BodyText"/>
        <w:rPr>
          <w:b/>
          <w:sz w:val="20"/>
        </w:rPr>
      </w:pPr>
    </w:p>
    <w:p>
      <w:pPr>
        <w:pStyle w:val="BodyText"/>
        <w:rPr>
          <w:b/>
          <w:sz w:val="20"/>
        </w:rPr>
      </w:pPr>
    </w:p>
    <w:p>
      <w:pPr>
        <w:pStyle w:val="BodyText"/>
        <w:spacing w:before="5"/>
        <w:rPr>
          <w:b/>
          <w:sz w:val="20"/>
        </w:rPr>
      </w:pPr>
      <w:r>
        <w:rPr/>
        <w:pict>
          <v:group style="position:absolute;margin-left:281.25pt;margin-top:13.72193pt;width:49.35pt;height:49.35pt;mso-position-horizontal-relative:page;mso-position-vertical-relative:paragraph;z-index:-251600896;mso-wrap-distance-left:0;mso-wrap-distance-right:0" coordorigin="5625,274" coordsize="987,987">
            <v:shape style="position:absolute;left:5625;top:274;width:987;height:987" coordorigin="5625,274" coordsize="987,987" path="m6119,274l6046,280,5976,295,5911,320,5850,354,5795,395,5746,444,5705,499,5671,560,5646,625,5630,695,5625,768,5630,841,5646,910,5671,976,5705,1037,5746,1092,5795,1140,5850,1182,5911,1216,5976,1241,6046,1256,6119,1261,6191,1256,6261,1241,6327,1216,6387,1182,6442,1140,6491,1092,6532,1037,6566,976,6591,910,6607,841,6612,768,6607,695,6591,625,6566,560,6532,499,6491,444,6442,395,6387,354,6327,320,6261,295,6191,280,6119,274xe" filled="true" fillcolor="#375f92" stroked="false">
              <v:path arrowok="t"/>
              <v:fill type="solid"/>
            </v:shape>
            <v:shape style="position:absolute;left:5769;top:491;width:699;height:555" type="#_x0000_t75" stroked="false">
              <v:imagedata r:id="rId10" o:title=""/>
            </v:shape>
            <v:shape style="position:absolute;left:5625;top:274;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20</w:t>
                    </w:r>
                  </w:p>
                </w:txbxContent>
              </v:textbox>
              <w10:wrap type="none"/>
            </v:shape>
            <w10:wrap type="topAndBottom"/>
          </v:group>
        </w:pict>
      </w:r>
    </w:p>
    <w:p>
      <w:pPr>
        <w:spacing w:after="0"/>
        <w:rPr>
          <w:sz w:val="20"/>
        </w:rPr>
        <w:sectPr>
          <w:pgSz w:w="12240" w:h="15840"/>
          <w:pgMar w:top="1440" w:bottom="0" w:left="1220" w:right="122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960"/>
      </w:tblGrid>
      <w:tr>
        <w:trPr>
          <w:trHeight w:val="1027" w:hRule="atLeast"/>
        </w:trPr>
        <w:tc>
          <w:tcPr>
            <w:tcW w:w="2840" w:type="dxa"/>
          </w:tcPr>
          <w:p>
            <w:pPr>
              <w:pStyle w:val="TableParagraph"/>
              <w:tabs>
                <w:tab w:pos="834" w:val="left" w:leader="none"/>
                <w:tab w:pos="1616" w:val="left" w:leader="none"/>
                <w:tab w:pos="2410" w:val="left" w:leader="none"/>
              </w:tabs>
              <w:spacing w:line="362" w:lineRule="auto"/>
              <w:ind w:right="97"/>
              <w:rPr>
                <w:sz w:val="24"/>
              </w:rPr>
            </w:pPr>
            <w:r>
              <w:rPr>
                <w:sz w:val="24"/>
              </w:rPr>
              <w:t>Free</w:t>
              <w:tab/>
              <w:t>Cash</w:t>
              <w:tab/>
              <w:t>Flow</w:t>
              <w:tab/>
            </w:r>
            <w:r>
              <w:rPr>
                <w:spacing w:val="-7"/>
                <w:sz w:val="24"/>
              </w:rPr>
              <w:t>Per </w:t>
            </w:r>
            <w:r>
              <w:rPr>
                <w:sz w:val="24"/>
              </w:rPr>
              <w:t>Share</w:t>
            </w:r>
            <w:r>
              <w:rPr>
                <w:spacing w:val="-3"/>
                <w:sz w:val="24"/>
              </w:rPr>
              <w:t> </w:t>
            </w:r>
            <w:r>
              <w:rPr>
                <w:sz w:val="24"/>
              </w:rPr>
              <w:t>GBP</w:t>
            </w:r>
          </w:p>
        </w:tc>
        <w:tc>
          <w:tcPr>
            <w:tcW w:w="960" w:type="dxa"/>
          </w:tcPr>
          <w:p>
            <w:pPr>
              <w:pStyle w:val="TableParagraph"/>
              <w:spacing w:line="270" w:lineRule="exact"/>
              <w:rPr>
                <w:sz w:val="24"/>
              </w:rPr>
            </w:pPr>
            <w:r>
              <w:rPr>
                <w:sz w:val="24"/>
              </w:rPr>
              <w:t>0.1</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3" w:lineRule="exact"/>
              <w:rPr>
                <w:sz w:val="24"/>
              </w:rPr>
            </w:pPr>
            <w:r>
              <w:rPr>
                <w:sz w:val="24"/>
              </w:rPr>
              <w:t>Working Capital GBP Mil</w:t>
            </w:r>
          </w:p>
        </w:tc>
        <w:tc>
          <w:tcPr>
            <w:tcW w:w="960" w:type="dxa"/>
          </w:tcPr>
          <w:p>
            <w:pPr>
              <w:pStyle w:val="TableParagraph"/>
              <w:spacing w:line="273" w:lineRule="exact"/>
              <w:rPr>
                <w:sz w:val="24"/>
              </w:rPr>
            </w:pPr>
            <w:r>
              <w:rPr>
                <w:sz w:val="24"/>
              </w:rPr>
              <w:t>276</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1029" w:hRule="atLeast"/>
        </w:trPr>
        <w:tc>
          <w:tcPr>
            <w:tcW w:w="2840" w:type="dxa"/>
          </w:tcPr>
          <w:p>
            <w:pPr>
              <w:pStyle w:val="TableParagraph"/>
              <w:spacing w:before="1"/>
              <w:rPr>
                <w:b/>
                <w:sz w:val="24"/>
              </w:rPr>
            </w:pPr>
            <w:r>
              <w:rPr>
                <w:b/>
                <w:sz w:val="24"/>
              </w:rPr>
              <w:t>Efficiency Ratio</w:t>
            </w:r>
          </w:p>
        </w:tc>
        <w:tc>
          <w:tcPr>
            <w:tcW w:w="960" w:type="dxa"/>
          </w:tcPr>
          <w:p>
            <w:pPr>
              <w:pStyle w:val="TableParagraph"/>
              <w:spacing w:line="273" w:lineRule="exact"/>
              <w:rPr>
                <w:sz w:val="24"/>
              </w:rPr>
            </w:pPr>
            <w:r>
              <w:rPr>
                <w:sz w:val="24"/>
              </w:rPr>
              <w:t>2013-</w:t>
            </w:r>
          </w:p>
          <w:p>
            <w:pPr>
              <w:pStyle w:val="TableParagraph"/>
              <w:spacing w:before="137"/>
              <w:rPr>
                <w:sz w:val="24"/>
              </w:rPr>
            </w:pPr>
            <w:r>
              <w:rPr>
                <w:sz w:val="24"/>
              </w:rPr>
              <w:t>04</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Days Sales Outstanding</w:t>
            </w:r>
          </w:p>
        </w:tc>
        <w:tc>
          <w:tcPr>
            <w:tcW w:w="960" w:type="dxa"/>
          </w:tcPr>
          <w:p>
            <w:pPr>
              <w:pStyle w:val="TableParagraph"/>
              <w:spacing w:line="270" w:lineRule="exact"/>
              <w:rPr>
                <w:sz w:val="24"/>
              </w:rPr>
            </w:pPr>
            <w:r>
              <w:rPr>
                <w:sz w:val="24"/>
              </w:rPr>
              <w:t>7.89</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Days Inventory</w:t>
            </w:r>
          </w:p>
        </w:tc>
        <w:tc>
          <w:tcPr>
            <w:tcW w:w="960" w:type="dxa"/>
          </w:tcPr>
          <w:p>
            <w:pPr>
              <w:pStyle w:val="TableParagraph"/>
              <w:spacing w:line="270" w:lineRule="exact"/>
              <w:rPr>
                <w:sz w:val="24"/>
              </w:rPr>
            </w:pPr>
            <w:r>
              <w:rPr>
                <w:sz w:val="24"/>
              </w:rPr>
              <w:t>107.98</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Payables Period</w:t>
            </w:r>
          </w:p>
        </w:tc>
        <w:tc>
          <w:tcPr>
            <w:tcW w:w="960" w:type="dxa"/>
          </w:tcPr>
          <w:p>
            <w:pPr>
              <w:pStyle w:val="TableParagraph"/>
              <w:spacing w:line="270" w:lineRule="exact"/>
              <w:rPr>
                <w:sz w:val="24"/>
              </w:rPr>
            </w:pPr>
            <w:r>
              <w:rPr>
                <w:sz w:val="24"/>
              </w:rPr>
              <w:t>46.01</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Cash Conversion Cycle</w:t>
            </w:r>
          </w:p>
        </w:tc>
        <w:tc>
          <w:tcPr>
            <w:tcW w:w="960" w:type="dxa"/>
          </w:tcPr>
          <w:p>
            <w:pPr>
              <w:pStyle w:val="TableParagraph"/>
              <w:spacing w:line="270" w:lineRule="exact"/>
              <w:rPr>
                <w:sz w:val="24"/>
              </w:rPr>
            </w:pPr>
            <w:r>
              <w:rPr>
                <w:sz w:val="24"/>
              </w:rPr>
              <w:t>69.86</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3" w:hRule="atLeast"/>
        </w:trPr>
        <w:tc>
          <w:tcPr>
            <w:tcW w:w="2840" w:type="dxa"/>
          </w:tcPr>
          <w:p>
            <w:pPr>
              <w:pStyle w:val="TableParagraph"/>
              <w:spacing w:line="270" w:lineRule="exact"/>
              <w:rPr>
                <w:sz w:val="24"/>
              </w:rPr>
            </w:pPr>
            <w:r>
              <w:rPr>
                <w:sz w:val="24"/>
              </w:rPr>
              <w:t>Receivables Turnover</w:t>
            </w:r>
          </w:p>
        </w:tc>
        <w:tc>
          <w:tcPr>
            <w:tcW w:w="960" w:type="dxa"/>
          </w:tcPr>
          <w:p>
            <w:pPr>
              <w:pStyle w:val="TableParagraph"/>
              <w:spacing w:line="270" w:lineRule="exact"/>
              <w:rPr>
                <w:sz w:val="24"/>
              </w:rPr>
            </w:pPr>
            <w:r>
              <w:rPr>
                <w:sz w:val="24"/>
              </w:rPr>
              <w:t>46.24</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Inventory Turnover</w:t>
            </w:r>
          </w:p>
        </w:tc>
        <w:tc>
          <w:tcPr>
            <w:tcW w:w="960" w:type="dxa"/>
          </w:tcPr>
          <w:p>
            <w:pPr>
              <w:pStyle w:val="TableParagraph"/>
              <w:spacing w:line="270" w:lineRule="exact"/>
              <w:rPr>
                <w:sz w:val="24"/>
              </w:rPr>
            </w:pPr>
            <w:r>
              <w:rPr>
                <w:sz w:val="24"/>
              </w:rPr>
              <w:t>3.38</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bl>
    <w:p>
      <w:pPr>
        <w:pStyle w:val="BodyText"/>
        <w:rPr>
          <w:b/>
          <w:sz w:val="20"/>
        </w:rPr>
      </w:pPr>
      <w:r>
        <w:rPr/>
        <w:pict>
          <v:group style="position:absolute;margin-left:24pt;margin-top:24pt;width:564.15pt;height:768.15pt;mso-position-horizontal-relative:page;mso-position-vertical-relative:page;z-index:-253541376"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p>
    <w:p>
      <w:pPr>
        <w:pStyle w:val="BodyText"/>
        <w:rPr>
          <w:b/>
          <w:sz w:val="20"/>
        </w:rPr>
      </w:pPr>
    </w:p>
    <w:p>
      <w:pPr>
        <w:pStyle w:val="BodyText"/>
        <w:rPr>
          <w:b/>
          <w:sz w:val="20"/>
        </w:rPr>
      </w:pPr>
    </w:p>
    <w:p>
      <w:pPr>
        <w:pStyle w:val="BodyText"/>
        <w:spacing w:before="5"/>
        <w:rPr>
          <w:b/>
          <w:sz w:val="20"/>
        </w:rPr>
      </w:pPr>
      <w:r>
        <w:rPr/>
        <w:pict>
          <v:group style="position:absolute;margin-left:281.25pt;margin-top:13.72193pt;width:49.35pt;height:49.35pt;mso-position-horizontal-relative:page;mso-position-vertical-relative:paragraph;z-index:-251597824;mso-wrap-distance-left:0;mso-wrap-distance-right:0" coordorigin="5625,274" coordsize="987,987">
            <v:shape style="position:absolute;left:5625;top:274;width:987;height:987" coordorigin="5625,274" coordsize="987,987" path="m6119,274l6046,280,5976,295,5911,320,5850,354,5795,395,5746,444,5705,499,5671,560,5646,625,5630,695,5625,768,5630,841,5646,910,5671,976,5705,1037,5746,1092,5795,1140,5850,1182,5911,1216,5976,1241,6046,1256,6119,1261,6191,1256,6261,1241,6327,1216,6387,1182,6442,1140,6491,1092,6532,1037,6566,976,6591,910,6607,841,6612,768,6607,695,6591,625,6566,560,6532,499,6491,444,6442,395,6387,354,6327,320,6261,295,6191,280,6119,274xe" filled="true" fillcolor="#375f92" stroked="false">
              <v:path arrowok="t"/>
              <v:fill type="solid"/>
            </v:shape>
            <v:shape style="position:absolute;left:5769;top:491;width:699;height:555" type="#_x0000_t75" stroked="false">
              <v:imagedata r:id="rId10" o:title=""/>
            </v:shape>
            <v:shape style="position:absolute;left:5625;top:274;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21</w:t>
                    </w:r>
                  </w:p>
                </w:txbxContent>
              </v:textbox>
              <w10:wrap type="none"/>
            </v:shape>
            <w10:wrap type="topAndBottom"/>
          </v:group>
        </w:pict>
      </w:r>
    </w:p>
    <w:p>
      <w:pPr>
        <w:spacing w:after="0"/>
        <w:rPr>
          <w:sz w:val="20"/>
        </w:rPr>
        <w:sectPr>
          <w:pgSz w:w="12240" w:h="15840"/>
          <w:pgMar w:top="1440" w:bottom="0" w:left="1220" w:right="122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960"/>
      </w:tblGrid>
      <w:tr>
        <w:trPr>
          <w:trHeight w:val="614" w:hRule="atLeast"/>
        </w:trPr>
        <w:tc>
          <w:tcPr>
            <w:tcW w:w="2840" w:type="dxa"/>
          </w:tcPr>
          <w:p>
            <w:pPr>
              <w:pStyle w:val="TableParagraph"/>
              <w:spacing w:line="270" w:lineRule="exact"/>
              <w:rPr>
                <w:sz w:val="24"/>
              </w:rPr>
            </w:pPr>
            <w:r>
              <w:rPr>
                <w:sz w:val="24"/>
              </w:rPr>
              <w:t>Fixed Assets Turnover</w:t>
            </w:r>
          </w:p>
        </w:tc>
        <w:tc>
          <w:tcPr>
            <w:tcW w:w="960" w:type="dxa"/>
          </w:tcPr>
          <w:p>
            <w:pPr>
              <w:pStyle w:val="TableParagraph"/>
              <w:spacing w:line="270" w:lineRule="exact"/>
              <w:rPr>
                <w:sz w:val="24"/>
              </w:rPr>
            </w:pPr>
            <w:r>
              <w:rPr>
                <w:sz w:val="24"/>
              </w:rPr>
              <w:t>6.78</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Asset Turnover</w:t>
            </w:r>
          </w:p>
        </w:tc>
        <w:tc>
          <w:tcPr>
            <w:tcW w:w="960" w:type="dxa"/>
          </w:tcPr>
          <w:p>
            <w:pPr>
              <w:pStyle w:val="TableParagraph"/>
              <w:spacing w:line="270" w:lineRule="exact"/>
              <w:rPr>
                <w:sz w:val="24"/>
              </w:rPr>
            </w:pPr>
            <w:r>
              <w:rPr>
                <w:sz w:val="24"/>
              </w:rPr>
              <w:t>1.72</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1026" w:hRule="atLeast"/>
        </w:trPr>
        <w:tc>
          <w:tcPr>
            <w:tcW w:w="2840" w:type="dxa"/>
          </w:tcPr>
          <w:p>
            <w:pPr>
              <w:pStyle w:val="TableParagraph"/>
              <w:spacing w:line="360" w:lineRule="auto"/>
              <w:ind w:right="715"/>
              <w:rPr>
                <w:b/>
                <w:sz w:val="24"/>
              </w:rPr>
            </w:pPr>
            <w:r>
              <w:rPr>
                <w:b/>
                <w:sz w:val="24"/>
              </w:rPr>
              <w:t>Liquidity/Financial Health Ratio</w:t>
            </w:r>
          </w:p>
        </w:tc>
        <w:tc>
          <w:tcPr>
            <w:tcW w:w="960" w:type="dxa"/>
          </w:tcPr>
          <w:p>
            <w:pPr>
              <w:pStyle w:val="TableParagraph"/>
              <w:spacing w:line="270" w:lineRule="exact"/>
              <w:rPr>
                <w:sz w:val="24"/>
              </w:rPr>
            </w:pPr>
            <w:r>
              <w:rPr>
                <w:sz w:val="24"/>
              </w:rPr>
              <w:t>2013-</w:t>
            </w:r>
          </w:p>
          <w:p>
            <w:pPr>
              <w:pStyle w:val="TableParagraph"/>
              <w:spacing w:before="139"/>
              <w:rPr>
                <w:sz w:val="24"/>
              </w:rPr>
            </w:pPr>
            <w:r>
              <w:rPr>
                <w:sz w:val="24"/>
              </w:rPr>
              <w:t>04</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3" w:lineRule="exact"/>
              <w:rPr>
                <w:sz w:val="24"/>
              </w:rPr>
            </w:pPr>
            <w:r>
              <w:rPr>
                <w:sz w:val="24"/>
              </w:rPr>
              <w:t>Current Ratio</w:t>
            </w:r>
          </w:p>
        </w:tc>
        <w:tc>
          <w:tcPr>
            <w:tcW w:w="960" w:type="dxa"/>
          </w:tcPr>
          <w:p>
            <w:pPr>
              <w:pStyle w:val="TableParagraph"/>
              <w:spacing w:line="273" w:lineRule="exact"/>
              <w:rPr>
                <w:sz w:val="24"/>
              </w:rPr>
            </w:pPr>
            <w:r>
              <w:rPr>
                <w:sz w:val="24"/>
              </w:rPr>
              <w:t>1.64</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3" w:lineRule="exact"/>
              <w:rPr>
                <w:sz w:val="24"/>
              </w:rPr>
            </w:pPr>
            <w:r>
              <w:rPr>
                <w:sz w:val="24"/>
              </w:rPr>
              <w:t>Quick Ratio</w:t>
            </w:r>
          </w:p>
        </w:tc>
        <w:tc>
          <w:tcPr>
            <w:tcW w:w="960" w:type="dxa"/>
          </w:tcPr>
          <w:p>
            <w:pPr>
              <w:pStyle w:val="TableParagraph"/>
              <w:spacing w:line="273" w:lineRule="exact"/>
              <w:rPr>
                <w:sz w:val="24"/>
              </w:rPr>
            </w:pPr>
            <w:r>
              <w:rPr>
                <w:sz w:val="24"/>
              </w:rPr>
              <w:t>0.54</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before="1"/>
              <w:rPr>
                <w:b/>
                <w:sz w:val="24"/>
              </w:rPr>
            </w:pPr>
            <w:r>
              <w:rPr>
                <w:b/>
                <w:sz w:val="24"/>
              </w:rPr>
              <w:t>Financial Leverage</w:t>
            </w:r>
          </w:p>
        </w:tc>
        <w:tc>
          <w:tcPr>
            <w:tcW w:w="960" w:type="dxa"/>
          </w:tcPr>
          <w:p>
            <w:pPr>
              <w:pStyle w:val="TableParagraph"/>
              <w:spacing w:line="273" w:lineRule="exact"/>
              <w:rPr>
                <w:sz w:val="24"/>
              </w:rPr>
            </w:pPr>
            <w:r>
              <w:rPr>
                <w:sz w:val="24"/>
              </w:rPr>
              <w:t>2.18</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Debt/Equity</w:t>
            </w:r>
          </w:p>
        </w:tc>
        <w:tc>
          <w:tcPr>
            <w:tcW w:w="960" w:type="dxa"/>
          </w:tcPr>
          <w:p>
            <w:pPr>
              <w:pStyle w:val="TableParagraph"/>
              <w:spacing w:line="270" w:lineRule="exact"/>
              <w:rPr>
                <w:sz w:val="24"/>
              </w:rPr>
            </w:pPr>
            <w:r>
              <w:rPr>
                <w:sz w:val="24"/>
              </w:rPr>
              <w:t>0.38</w:t>
            </w:r>
          </w:p>
        </w:tc>
      </w:tr>
      <w:tr>
        <w:trPr>
          <w:trHeight w:val="613"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1029" w:hRule="atLeast"/>
        </w:trPr>
        <w:tc>
          <w:tcPr>
            <w:tcW w:w="2840" w:type="dxa"/>
          </w:tcPr>
          <w:p>
            <w:pPr>
              <w:pStyle w:val="TableParagraph"/>
              <w:tabs>
                <w:tab w:pos="1840" w:val="left" w:leader="none"/>
              </w:tabs>
              <w:spacing w:line="360" w:lineRule="auto"/>
              <w:ind w:right="99"/>
              <w:rPr>
                <w:sz w:val="24"/>
              </w:rPr>
            </w:pPr>
            <w:r>
              <w:rPr>
                <w:sz w:val="24"/>
              </w:rPr>
              <w:t>Financial</w:t>
              <w:tab/>
            </w:r>
            <w:r>
              <w:rPr>
                <w:spacing w:val="-3"/>
                <w:sz w:val="24"/>
              </w:rPr>
              <w:t>Leverage </w:t>
            </w:r>
            <w:r>
              <w:rPr>
                <w:sz w:val="24"/>
              </w:rPr>
              <w:t>(Average)</w:t>
            </w:r>
          </w:p>
        </w:tc>
        <w:tc>
          <w:tcPr>
            <w:tcW w:w="960" w:type="dxa"/>
          </w:tcPr>
          <w:p>
            <w:pPr>
              <w:pStyle w:val="TableParagraph"/>
              <w:spacing w:line="270" w:lineRule="exact"/>
              <w:rPr>
                <w:sz w:val="24"/>
              </w:rPr>
            </w:pPr>
            <w:r>
              <w:rPr>
                <w:sz w:val="24"/>
              </w:rPr>
              <w:t>2.18</w:t>
            </w:r>
          </w:p>
        </w:tc>
      </w:tr>
      <w:tr>
        <w:trPr>
          <w:trHeight w:val="614" w:hRule="atLeast"/>
        </w:trPr>
        <w:tc>
          <w:tcPr>
            <w:tcW w:w="2840" w:type="dxa"/>
          </w:tcPr>
          <w:p>
            <w:pPr>
              <w:pStyle w:val="TableParagraph"/>
              <w:ind w:left="0"/>
              <w:rPr>
                <w:sz w:val="24"/>
              </w:rPr>
            </w:pPr>
          </w:p>
        </w:tc>
        <w:tc>
          <w:tcPr>
            <w:tcW w:w="960" w:type="dxa"/>
          </w:tcPr>
          <w:p>
            <w:pPr>
              <w:pStyle w:val="TableParagraph"/>
              <w:ind w:left="0"/>
              <w:rPr>
                <w:sz w:val="24"/>
              </w:rPr>
            </w:pPr>
          </w:p>
        </w:tc>
      </w:tr>
      <w:tr>
        <w:trPr>
          <w:trHeight w:val="614" w:hRule="atLeast"/>
        </w:trPr>
        <w:tc>
          <w:tcPr>
            <w:tcW w:w="2840" w:type="dxa"/>
          </w:tcPr>
          <w:p>
            <w:pPr>
              <w:pStyle w:val="TableParagraph"/>
              <w:spacing w:line="270" w:lineRule="exact"/>
              <w:rPr>
                <w:sz w:val="24"/>
              </w:rPr>
            </w:pPr>
            <w:r>
              <w:rPr>
                <w:sz w:val="24"/>
              </w:rPr>
              <w:t>Interest Coverage</w:t>
            </w:r>
          </w:p>
        </w:tc>
        <w:tc>
          <w:tcPr>
            <w:tcW w:w="960" w:type="dxa"/>
          </w:tcPr>
          <w:p>
            <w:pPr>
              <w:pStyle w:val="TableParagraph"/>
              <w:spacing w:line="270" w:lineRule="exact"/>
              <w:rPr>
                <w:sz w:val="24"/>
              </w:rPr>
            </w:pPr>
            <w:r>
              <w:rPr>
                <w:sz w:val="24"/>
              </w:rPr>
              <w:t>22.49</w:t>
            </w:r>
          </w:p>
        </w:tc>
      </w:tr>
    </w:tbl>
    <w:p>
      <w:pPr>
        <w:pStyle w:val="BodyText"/>
        <w:rPr>
          <w:b/>
          <w:sz w:val="20"/>
        </w:rPr>
      </w:pPr>
      <w:r>
        <w:rPr/>
        <w:pict>
          <v:group style="position:absolute;margin-left:24pt;margin-top:24pt;width:564.15pt;height:768.15pt;mso-position-horizontal-relative:page;mso-position-vertical-relative:page;z-index:-253538304"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4"/>
        </w:rPr>
      </w:pPr>
      <w:r>
        <w:rPr/>
        <w:pict>
          <v:group style="position:absolute;margin-left:281.25pt;margin-top:10.424859pt;width:49.35pt;height:49.35pt;mso-position-horizontal-relative:page;mso-position-vertical-relative:paragraph;z-index:-251594752;mso-wrap-distance-left:0;mso-wrap-distance-right:0" coordorigin="5625,208" coordsize="987,987">
            <v:shape style="position:absolute;left:5625;top:208;width:987;height:987" coordorigin="5625,208" coordsize="987,987" path="m6119,208l6046,214,5976,229,5911,254,5850,288,5795,330,5746,378,5705,433,5671,494,5646,559,5630,629,5625,702,5630,775,5646,845,5671,910,5705,971,5746,1026,5795,1074,5850,1116,5911,1150,5976,1175,6046,1190,6119,1195,6191,1190,6261,1175,6327,1150,6387,1116,6442,1074,6491,1026,6532,971,6566,910,6591,845,6607,775,6612,702,6607,629,6591,559,6566,494,6532,433,6491,378,6442,330,6387,288,6327,254,6261,229,6191,214,6119,208xe" filled="true" fillcolor="#375f92" stroked="false">
              <v:path arrowok="t"/>
              <v:fill type="solid"/>
            </v:shape>
            <v:shape style="position:absolute;left:5769;top:425;width:699;height:555" type="#_x0000_t75" stroked="false">
              <v:imagedata r:id="rId10" o:title=""/>
            </v:shape>
            <v:shape style="position:absolute;left:5625;top:208;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22</w:t>
                    </w:r>
                  </w:p>
                </w:txbxContent>
              </v:textbox>
              <w10:wrap type="none"/>
            </v:shape>
            <w10:wrap type="topAndBottom"/>
          </v:group>
        </w:pict>
      </w:r>
    </w:p>
    <w:p>
      <w:pPr>
        <w:spacing w:after="0"/>
        <w:rPr>
          <w:sz w:val="14"/>
        </w:rPr>
        <w:sectPr>
          <w:pgSz w:w="12240" w:h="15840"/>
          <w:pgMar w:top="1440" w:bottom="0" w:left="1220" w:right="1220"/>
        </w:sectPr>
      </w:pPr>
    </w:p>
    <w:p>
      <w:pPr>
        <w:pStyle w:val="BodyText"/>
        <w:rPr>
          <w:sz w:val="20"/>
        </w:rPr>
      </w:pPr>
      <w:r>
        <w:rPr/>
        <w:pict>
          <v:group style="position:absolute;margin-left:24pt;margin-top:24pt;width:564.15pt;height:768.15pt;mso-position-horizontal-relative:page;mso-position-vertical-relative:page;z-index:-253535232" coordorigin="480,480" coordsize="11283,15363">
            <v:rect style="position:absolute;left:480;top:480;width:89;height:60" filled="true" fillcolor="#000000" stroked="false">
              <v:fill type="solid"/>
            </v:rect>
            <v:line style="position:absolute" from="569,510" to="11674,510" stroked="true" strokeweight="3pt" strokecolor="#000000">
              <v:stroke dashstyle="solid"/>
            </v:line>
            <v:line style="position:absolute" from="569,562" to="11674,562" stroked="true" strokeweight=".72pt" strokecolor="#000000">
              <v:stroke dashstyle="solid"/>
            </v:line>
            <v:rect style="position:absolute;left:11673;top:480;width:89;height:60" filled="true" fillcolor="#000000" stroked="false">
              <v:fill type="solid"/>
            </v:rect>
            <v:line style="position:absolute" from="510,480" to="510,15842" stroked="true" strokeweight="3pt" strokecolor="#000000">
              <v:stroke dashstyle="solid"/>
            </v:line>
            <v:line style="position:absolute" from="562,554" to="562,15842" stroked="true" strokeweight=".72pt" strokecolor="#000000">
              <v:stroke dashstyle="solid"/>
            </v:line>
            <v:line style="position:absolute" from="11755,480" to="11755,15842" stroked="true" strokeweight=".71997pt" strokecolor="#000000">
              <v:stroke dashstyle="solid"/>
            </v:line>
            <v:line style="position:absolute" from="11704,554" to="11704,15842" stroked="true" strokeweight="3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BodyText"/>
        <w:ind w:left="4405"/>
        <w:rPr>
          <w:sz w:val="20"/>
        </w:rPr>
      </w:pPr>
      <w:r>
        <w:rPr>
          <w:sz w:val="20"/>
        </w:rPr>
        <w:pict>
          <v:group style="width:49.35pt;height:49.35pt;mso-position-horizontal-relative:char;mso-position-vertical-relative:line" coordorigin="0,0" coordsize="987,987">
            <v:shape style="position:absolute;left:0;top:0;width:987;height:987" coordorigin="0,0" coordsize="987,987" path="m494,0l421,5,351,21,286,46,225,80,170,121,121,170,80,225,46,285,21,351,5,421,0,494,5,566,21,636,46,702,80,762,121,817,170,866,225,907,286,941,351,966,421,982,494,987,566,982,636,966,702,941,762,907,817,866,866,817,907,762,941,702,966,636,982,566,987,494,982,421,966,351,941,285,907,225,866,170,817,121,762,80,702,46,636,21,566,5,494,0xe" filled="true" fillcolor="#375f92" stroked="false">
              <v:path arrowok="t"/>
              <v:fill type="solid"/>
            </v:shape>
            <v:shape style="position:absolute;left:144;top:216;width:699;height:555" type="#_x0000_t75" stroked="false">
              <v:imagedata r:id="rId10" o:title=""/>
            </v:shape>
            <v:shape style="position:absolute;left:0;top:0;width:987;height:987" type="#_x0000_t202" filled="false" stroked="false">
              <v:textbox inset="0,0,0,0">
                <w:txbxContent>
                  <w:p>
                    <w:pPr>
                      <w:spacing w:before="315"/>
                      <w:ind w:left="316" w:right="0" w:firstLine="0"/>
                      <w:jc w:val="left"/>
                      <w:rPr>
                        <w:rFonts w:ascii="Arial"/>
                        <w:b/>
                        <w:sz w:val="32"/>
                      </w:rPr>
                    </w:pPr>
                    <w:r>
                      <w:rPr>
                        <w:rFonts w:ascii="Arial"/>
                        <w:b/>
                        <w:color w:val="FFFFFF"/>
                        <w:sz w:val="32"/>
                      </w:rPr>
                      <w:t>23</w:t>
                    </w:r>
                  </w:p>
                </w:txbxContent>
              </v:textbox>
              <w10:wrap type="none"/>
            </v:shape>
          </v:group>
        </w:pict>
      </w:r>
      <w:r>
        <w:rPr>
          <w:sz w:val="20"/>
        </w:rPr>
      </w:r>
    </w:p>
    <w:sectPr>
      <w:pgSz w:w="12240" w:h="15840"/>
      <w:pgMar w:top="1500" w:bottom="0" w:left="122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3"/>
      <w:numFmt w:val="decimal"/>
      <w:lvlText w:val="%1."/>
      <w:lvlJc w:val="left"/>
      <w:pPr>
        <w:ind w:left="460" w:hanging="240"/>
        <w:jc w:val="left"/>
      </w:pPr>
      <w:rPr>
        <w:rFonts w:hint="default" w:ascii="Times New Roman" w:hAnsi="Times New Roman" w:eastAsia="Times New Roman" w:cs="Times New Roman"/>
        <w:b/>
        <w:bCs/>
        <w:color w:val="365F91"/>
        <w:spacing w:val="-2"/>
        <w:w w:val="99"/>
        <w:sz w:val="24"/>
        <w:szCs w:val="24"/>
        <w:lang w:val="en-US" w:eastAsia="en-US" w:bidi="en-US"/>
      </w:rPr>
    </w:lvl>
    <w:lvl w:ilvl="1">
      <w:start w:val="1"/>
      <w:numFmt w:val="decimal"/>
      <w:lvlText w:val="%2."/>
      <w:lvlJc w:val="left"/>
      <w:pPr>
        <w:ind w:left="940" w:hanging="360"/>
        <w:jc w:val="left"/>
      </w:pPr>
      <w:rPr>
        <w:rFonts w:hint="default" w:ascii="Times New Roman" w:hAnsi="Times New Roman" w:eastAsia="Times New Roman" w:cs="Times New Roman"/>
        <w:spacing w:val="-8"/>
        <w:w w:val="99"/>
        <w:sz w:val="24"/>
        <w:szCs w:val="24"/>
        <w:lang w:val="en-US" w:eastAsia="en-US" w:bidi="en-US"/>
      </w:rPr>
    </w:lvl>
    <w:lvl w:ilvl="2">
      <w:start w:val="0"/>
      <w:numFmt w:val="bullet"/>
      <w:lvlText w:val="•"/>
      <w:lvlJc w:val="left"/>
      <w:pPr>
        <w:ind w:left="1924" w:hanging="360"/>
      </w:pPr>
      <w:rPr>
        <w:rFonts w:hint="default"/>
        <w:lang w:val="en-US" w:eastAsia="en-US" w:bidi="en-US"/>
      </w:rPr>
    </w:lvl>
    <w:lvl w:ilvl="3">
      <w:start w:val="0"/>
      <w:numFmt w:val="bullet"/>
      <w:lvlText w:val="•"/>
      <w:lvlJc w:val="left"/>
      <w:pPr>
        <w:ind w:left="2908" w:hanging="360"/>
      </w:pPr>
      <w:rPr>
        <w:rFonts w:hint="default"/>
        <w:lang w:val="en-US" w:eastAsia="en-US" w:bidi="en-US"/>
      </w:rPr>
    </w:lvl>
    <w:lvl w:ilvl="4">
      <w:start w:val="0"/>
      <w:numFmt w:val="bullet"/>
      <w:lvlText w:val="•"/>
      <w:lvlJc w:val="left"/>
      <w:pPr>
        <w:ind w:left="3893" w:hanging="360"/>
      </w:pPr>
      <w:rPr>
        <w:rFonts w:hint="default"/>
        <w:lang w:val="en-US" w:eastAsia="en-US" w:bidi="en-US"/>
      </w:rPr>
    </w:lvl>
    <w:lvl w:ilvl="5">
      <w:start w:val="0"/>
      <w:numFmt w:val="bullet"/>
      <w:lvlText w:val="•"/>
      <w:lvlJc w:val="left"/>
      <w:pPr>
        <w:ind w:left="4877" w:hanging="360"/>
      </w:pPr>
      <w:rPr>
        <w:rFonts w:hint="default"/>
        <w:lang w:val="en-US" w:eastAsia="en-US" w:bidi="en-US"/>
      </w:rPr>
    </w:lvl>
    <w:lvl w:ilvl="6">
      <w:start w:val="0"/>
      <w:numFmt w:val="bullet"/>
      <w:lvlText w:val="•"/>
      <w:lvlJc w:val="left"/>
      <w:pPr>
        <w:ind w:left="5862" w:hanging="360"/>
      </w:pPr>
      <w:rPr>
        <w:rFonts w:hint="default"/>
        <w:lang w:val="en-US" w:eastAsia="en-US" w:bidi="en-US"/>
      </w:rPr>
    </w:lvl>
    <w:lvl w:ilvl="7">
      <w:start w:val="0"/>
      <w:numFmt w:val="bullet"/>
      <w:lvlText w:val="•"/>
      <w:lvlJc w:val="left"/>
      <w:pPr>
        <w:ind w:left="6846" w:hanging="360"/>
      </w:pPr>
      <w:rPr>
        <w:rFonts w:hint="default"/>
        <w:lang w:val="en-US" w:eastAsia="en-US" w:bidi="en-US"/>
      </w:rPr>
    </w:lvl>
    <w:lvl w:ilvl="8">
      <w:start w:val="0"/>
      <w:numFmt w:val="bullet"/>
      <w:lvlText w:val="•"/>
      <w:lvlJc w:val="left"/>
      <w:pPr>
        <w:ind w:left="7831" w:hanging="360"/>
      </w:pPr>
      <w:rPr>
        <w:rFonts w:hint="default"/>
        <w:lang w:val="en-US" w:eastAsia="en-US" w:bidi="en-US"/>
      </w:rPr>
    </w:lvl>
  </w:abstractNum>
  <w:abstractNum w:abstractNumId="1">
    <w:multiLevelType w:val="hybridMultilevel"/>
    <w:lvl w:ilvl="0">
      <w:start w:val="1"/>
      <w:numFmt w:val="decimal"/>
      <w:lvlText w:val="%1."/>
      <w:lvlJc w:val="left"/>
      <w:pPr>
        <w:ind w:left="460" w:hanging="240"/>
        <w:jc w:val="left"/>
      </w:pPr>
      <w:rPr>
        <w:rFonts w:hint="default" w:ascii="Times New Roman" w:hAnsi="Times New Roman" w:eastAsia="Times New Roman" w:cs="Times New Roman"/>
        <w:b/>
        <w:bCs/>
        <w:color w:val="365F91"/>
        <w:spacing w:val="-2"/>
        <w:w w:val="99"/>
        <w:sz w:val="24"/>
        <w:szCs w:val="24"/>
        <w:lang w:val="en-US" w:eastAsia="en-US" w:bidi="en-US"/>
      </w:rPr>
    </w:lvl>
    <w:lvl w:ilvl="1">
      <w:start w:val="0"/>
      <w:numFmt w:val="bullet"/>
      <w:lvlText w:val="•"/>
      <w:lvlJc w:val="left"/>
      <w:pPr>
        <w:ind w:left="1394" w:hanging="240"/>
      </w:pPr>
      <w:rPr>
        <w:rFonts w:hint="default"/>
        <w:lang w:val="en-US" w:eastAsia="en-US" w:bidi="en-US"/>
      </w:rPr>
    </w:lvl>
    <w:lvl w:ilvl="2">
      <w:start w:val="0"/>
      <w:numFmt w:val="bullet"/>
      <w:lvlText w:val="•"/>
      <w:lvlJc w:val="left"/>
      <w:pPr>
        <w:ind w:left="2328" w:hanging="240"/>
      </w:pPr>
      <w:rPr>
        <w:rFonts w:hint="default"/>
        <w:lang w:val="en-US" w:eastAsia="en-US" w:bidi="en-US"/>
      </w:rPr>
    </w:lvl>
    <w:lvl w:ilvl="3">
      <w:start w:val="0"/>
      <w:numFmt w:val="bullet"/>
      <w:lvlText w:val="•"/>
      <w:lvlJc w:val="left"/>
      <w:pPr>
        <w:ind w:left="3262" w:hanging="240"/>
      </w:pPr>
      <w:rPr>
        <w:rFonts w:hint="default"/>
        <w:lang w:val="en-US" w:eastAsia="en-US" w:bidi="en-US"/>
      </w:rPr>
    </w:lvl>
    <w:lvl w:ilvl="4">
      <w:start w:val="0"/>
      <w:numFmt w:val="bullet"/>
      <w:lvlText w:val="•"/>
      <w:lvlJc w:val="left"/>
      <w:pPr>
        <w:ind w:left="4196" w:hanging="240"/>
      </w:pPr>
      <w:rPr>
        <w:rFonts w:hint="default"/>
        <w:lang w:val="en-US" w:eastAsia="en-US" w:bidi="en-US"/>
      </w:rPr>
    </w:lvl>
    <w:lvl w:ilvl="5">
      <w:start w:val="0"/>
      <w:numFmt w:val="bullet"/>
      <w:lvlText w:val="•"/>
      <w:lvlJc w:val="left"/>
      <w:pPr>
        <w:ind w:left="5130" w:hanging="240"/>
      </w:pPr>
      <w:rPr>
        <w:rFonts w:hint="default"/>
        <w:lang w:val="en-US" w:eastAsia="en-US" w:bidi="en-US"/>
      </w:rPr>
    </w:lvl>
    <w:lvl w:ilvl="6">
      <w:start w:val="0"/>
      <w:numFmt w:val="bullet"/>
      <w:lvlText w:val="•"/>
      <w:lvlJc w:val="left"/>
      <w:pPr>
        <w:ind w:left="6064" w:hanging="240"/>
      </w:pPr>
      <w:rPr>
        <w:rFonts w:hint="default"/>
        <w:lang w:val="en-US" w:eastAsia="en-US" w:bidi="en-US"/>
      </w:rPr>
    </w:lvl>
    <w:lvl w:ilvl="7">
      <w:start w:val="0"/>
      <w:numFmt w:val="bullet"/>
      <w:lvlText w:val="•"/>
      <w:lvlJc w:val="left"/>
      <w:pPr>
        <w:ind w:left="6998" w:hanging="240"/>
      </w:pPr>
      <w:rPr>
        <w:rFonts w:hint="default"/>
        <w:lang w:val="en-US" w:eastAsia="en-US" w:bidi="en-US"/>
      </w:rPr>
    </w:lvl>
    <w:lvl w:ilvl="8">
      <w:start w:val="0"/>
      <w:numFmt w:val="bullet"/>
      <w:lvlText w:val="•"/>
      <w:lvlJc w:val="left"/>
      <w:pPr>
        <w:ind w:left="7932" w:hanging="240"/>
      </w:pPr>
      <w:rPr>
        <w:rFonts w:hint="default"/>
        <w:lang w:val="en-US" w:eastAsia="en-US" w:bidi="en-US"/>
      </w:rPr>
    </w:lvl>
  </w:abstractNum>
  <w:abstractNum w:abstractNumId="0">
    <w:multiLevelType w:val="hybridMultilevel"/>
    <w:lvl w:ilvl="0">
      <w:start w:val="1"/>
      <w:numFmt w:val="decimal"/>
      <w:lvlText w:val="%1."/>
      <w:lvlJc w:val="left"/>
      <w:pPr>
        <w:ind w:left="460" w:hanging="240"/>
        <w:jc w:val="left"/>
      </w:pPr>
      <w:rPr>
        <w:rFonts w:hint="default" w:ascii="Times New Roman" w:hAnsi="Times New Roman" w:eastAsia="Times New Roman" w:cs="Times New Roman"/>
        <w:spacing w:val="-2"/>
        <w:w w:val="99"/>
        <w:sz w:val="24"/>
        <w:szCs w:val="24"/>
        <w:lang w:val="en-US" w:eastAsia="en-US" w:bidi="en-US"/>
      </w:rPr>
    </w:lvl>
    <w:lvl w:ilvl="1">
      <w:start w:val="0"/>
      <w:numFmt w:val="bullet"/>
      <w:lvlText w:val="•"/>
      <w:lvlJc w:val="left"/>
      <w:pPr>
        <w:ind w:left="1394" w:hanging="240"/>
      </w:pPr>
      <w:rPr>
        <w:rFonts w:hint="default"/>
        <w:lang w:val="en-US" w:eastAsia="en-US" w:bidi="en-US"/>
      </w:rPr>
    </w:lvl>
    <w:lvl w:ilvl="2">
      <w:start w:val="0"/>
      <w:numFmt w:val="bullet"/>
      <w:lvlText w:val="•"/>
      <w:lvlJc w:val="left"/>
      <w:pPr>
        <w:ind w:left="2328" w:hanging="240"/>
      </w:pPr>
      <w:rPr>
        <w:rFonts w:hint="default"/>
        <w:lang w:val="en-US" w:eastAsia="en-US" w:bidi="en-US"/>
      </w:rPr>
    </w:lvl>
    <w:lvl w:ilvl="3">
      <w:start w:val="0"/>
      <w:numFmt w:val="bullet"/>
      <w:lvlText w:val="•"/>
      <w:lvlJc w:val="left"/>
      <w:pPr>
        <w:ind w:left="3262" w:hanging="240"/>
      </w:pPr>
      <w:rPr>
        <w:rFonts w:hint="default"/>
        <w:lang w:val="en-US" w:eastAsia="en-US" w:bidi="en-US"/>
      </w:rPr>
    </w:lvl>
    <w:lvl w:ilvl="4">
      <w:start w:val="0"/>
      <w:numFmt w:val="bullet"/>
      <w:lvlText w:val="•"/>
      <w:lvlJc w:val="left"/>
      <w:pPr>
        <w:ind w:left="4196" w:hanging="240"/>
      </w:pPr>
      <w:rPr>
        <w:rFonts w:hint="default"/>
        <w:lang w:val="en-US" w:eastAsia="en-US" w:bidi="en-US"/>
      </w:rPr>
    </w:lvl>
    <w:lvl w:ilvl="5">
      <w:start w:val="0"/>
      <w:numFmt w:val="bullet"/>
      <w:lvlText w:val="•"/>
      <w:lvlJc w:val="left"/>
      <w:pPr>
        <w:ind w:left="5130" w:hanging="240"/>
      </w:pPr>
      <w:rPr>
        <w:rFonts w:hint="default"/>
        <w:lang w:val="en-US" w:eastAsia="en-US" w:bidi="en-US"/>
      </w:rPr>
    </w:lvl>
    <w:lvl w:ilvl="6">
      <w:start w:val="0"/>
      <w:numFmt w:val="bullet"/>
      <w:lvlText w:val="•"/>
      <w:lvlJc w:val="left"/>
      <w:pPr>
        <w:ind w:left="6064" w:hanging="240"/>
      </w:pPr>
      <w:rPr>
        <w:rFonts w:hint="default"/>
        <w:lang w:val="en-US" w:eastAsia="en-US" w:bidi="en-US"/>
      </w:rPr>
    </w:lvl>
    <w:lvl w:ilvl="7">
      <w:start w:val="0"/>
      <w:numFmt w:val="bullet"/>
      <w:lvlText w:val="•"/>
      <w:lvlJc w:val="left"/>
      <w:pPr>
        <w:ind w:left="6998" w:hanging="240"/>
      </w:pPr>
      <w:rPr>
        <w:rFonts w:hint="default"/>
        <w:lang w:val="en-US" w:eastAsia="en-US" w:bidi="en-US"/>
      </w:rPr>
    </w:lvl>
    <w:lvl w:ilvl="8">
      <w:start w:val="0"/>
      <w:numFmt w:val="bullet"/>
      <w:lvlText w:val="•"/>
      <w:lvlJc w:val="left"/>
      <w:pPr>
        <w:ind w:left="7932" w:hanging="240"/>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258"/>
      <w:ind w:right="226"/>
      <w:jc w:val="right"/>
    </w:pPr>
    <w:rPr>
      <w:rFonts w:ascii="Times New Roman" w:hAnsi="Times New Roman" w:eastAsia="Times New Roman" w:cs="Times New Roman"/>
      <w:sz w:val="24"/>
      <w:szCs w:val="24"/>
      <w:lang w:val="en-US" w:eastAsia="en-US" w:bidi="en-US"/>
    </w:rPr>
  </w:style>
  <w:style w:styleId="TOC2" w:type="paragraph">
    <w:name w:val="TOC 2"/>
    <w:basedOn w:val="Normal"/>
    <w:uiPriority w:val="1"/>
    <w:qFormat/>
    <w:pPr>
      <w:spacing w:before="258"/>
      <w:ind w:left="460" w:hanging="241"/>
    </w:pPr>
    <w:rPr>
      <w:rFonts w:ascii="Times New Roman" w:hAnsi="Times New Roman" w:eastAsia="Times New Roman" w:cs="Times New Roman"/>
      <w:sz w:val="24"/>
      <w:szCs w:val="24"/>
      <w:lang w:val="en-US" w:eastAsia="en-US" w:bidi="en-US"/>
    </w:rPr>
  </w:style>
  <w:style w:styleId="TOC3" w:type="paragraph">
    <w:name w:val="TOC 3"/>
    <w:basedOn w:val="Normal"/>
    <w:uiPriority w:val="1"/>
    <w:qFormat/>
    <w:pPr>
      <w:spacing w:before="251"/>
      <w:ind w:left="220"/>
    </w:pPr>
    <w:rPr>
      <w:rFonts w:ascii="Times New Roman" w:hAnsi="Times New Roman" w:eastAsia="Times New Roman" w:cs="Times New Roman"/>
      <w:sz w:val="24"/>
      <w:szCs w:val="24"/>
      <w:lang w:val="en-US" w:eastAsia="en-US" w:bidi="en-US"/>
    </w:rPr>
  </w:style>
  <w:style w:styleId="TOC4" w:type="paragraph">
    <w:name w:val="TOC 4"/>
    <w:basedOn w:val="Normal"/>
    <w:uiPriority w:val="1"/>
    <w:qFormat/>
    <w:pPr>
      <w:spacing w:before="263"/>
      <w:ind w:left="700"/>
    </w:pPr>
    <w:rPr>
      <w:rFonts w:ascii="Arial" w:hAnsi="Arial" w:eastAsia="Arial" w:cs="Arial"/>
      <w:sz w:val="24"/>
      <w:szCs w:val="24"/>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spacing w:before="79"/>
      <w:ind w:left="220"/>
      <w:outlineLvl w:val="1"/>
    </w:pPr>
    <w:rPr>
      <w:rFonts w:ascii="Times New Roman" w:hAnsi="Times New Roman" w:eastAsia="Times New Roman" w:cs="Times New Roman"/>
      <w:b/>
      <w:bCs/>
      <w:sz w:val="24"/>
      <w:szCs w:val="24"/>
      <w:lang w:val="en-US" w:eastAsia="en-US" w:bidi="en-US"/>
    </w:rPr>
  </w:style>
  <w:style w:styleId="ListParagraph" w:type="paragraph">
    <w:name w:val="List Paragraph"/>
    <w:basedOn w:val="Normal"/>
    <w:uiPriority w:val="1"/>
    <w:qFormat/>
    <w:pPr>
      <w:ind w:left="940" w:hanging="360"/>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ind w:left="107"/>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keywords>Case study Assignment Help;financial statement assignment help</cp:keywords>
  <dc:subject>Formal Assignment Report</dc:subject>
  <dc:title>Analysis of Financial Statement</dc:title>
  <dcterms:created xsi:type="dcterms:W3CDTF">2020-12-09T12:06:02Z</dcterms:created>
  <dcterms:modified xsi:type="dcterms:W3CDTF">2020-12-09T12:06:02Z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2015-01-11T00:00:00Z</vt:filetime>
  </property>
  <property fmtid="{D5CDD505-2E9C-101B-9397-08002B2CF9AE}" pid="3" name="Creator">
    <vt:lpwstr>Microsoft® Word 2010</vt:lpwstr>
  </property>
  <property fmtid="{D5CDD505-2E9C-101B-9397-08002B2CF9AE}" pid="4" name="LastSaved">
    <vt:filetime>2020-12-09T00:00:00Z</vt:filetime>
  </property>
</Properties>
</file>